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784"/>
        <w:gridCol w:w="2854"/>
      </w:tblGrid>
      <w:tr w:rsidR="00212D1D" w14:paraId="4A3A7819" w14:textId="77777777" w:rsidTr="00212D1D">
        <w:tc>
          <w:tcPr>
            <w:tcW w:w="6784" w:type="dxa"/>
          </w:tcPr>
          <w:p w14:paraId="4D69FF60" w14:textId="43BBC8D0" w:rsidR="00212D1D" w:rsidRPr="00632167" w:rsidRDefault="00671BE8" w:rsidP="00840EDD">
            <w:pPr>
              <w:pStyle w:val="CSNETITREDOC"/>
              <w:rPr>
                <w:sz w:val="56"/>
                <w:szCs w:val="56"/>
              </w:rPr>
            </w:pPr>
            <w:r w:rsidRPr="00632167">
              <w:rPr>
                <w:sz w:val="56"/>
                <w:szCs w:val="56"/>
              </w:rPr>
              <w:t xml:space="preserve">Accord-cadre n° </w:t>
            </w:r>
            <w:r>
              <w:rPr>
                <w:sz w:val="56"/>
                <w:szCs w:val="56"/>
              </w:rPr>
              <w:t>22TRF065</w:t>
            </w:r>
          </w:p>
        </w:tc>
        <w:tc>
          <w:tcPr>
            <w:tcW w:w="2854" w:type="dxa"/>
          </w:tcPr>
          <w:p w14:paraId="7676E4F5" w14:textId="77777777" w:rsidR="00212D1D" w:rsidRDefault="00212D1D" w:rsidP="00840EDD">
            <w:pPr>
              <w:pStyle w:val="CSNETITREDOC"/>
            </w:pPr>
          </w:p>
        </w:tc>
      </w:tr>
      <w:tr w:rsidR="00212D1D" w14:paraId="5505214F" w14:textId="77777777" w:rsidTr="00212D1D">
        <w:tc>
          <w:tcPr>
            <w:tcW w:w="6784" w:type="dxa"/>
          </w:tcPr>
          <w:p w14:paraId="75BE77ED" w14:textId="5F791731" w:rsidR="0093729B" w:rsidRDefault="00671BE8" w:rsidP="00671BE8">
            <w:pPr>
              <w:spacing w:line="276" w:lineRule="auto"/>
              <w:jc w:val="center"/>
            </w:pPr>
            <w:r w:rsidRPr="00671BE8">
              <w:rPr>
                <w:b/>
                <w:color w:val="186AF2" w:themeColor="text2"/>
                <w:sz w:val="32"/>
                <w:szCs w:val="32"/>
              </w:rPr>
              <w:t>Assistance à maîtrise d’ouvrage pour la communication globale et de proximité</w:t>
            </w:r>
          </w:p>
          <w:p w14:paraId="270BC0E0" w14:textId="77777777" w:rsidR="0093729B" w:rsidRDefault="0093729B" w:rsidP="00D833CA">
            <w:pPr>
              <w:spacing w:line="276" w:lineRule="auto"/>
            </w:pPr>
          </w:p>
          <w:p w14:paraId="08F31BEF" w14:textId="77777777" w:rsidR="0093729B" w:rsidRDefault="0093729B" w:rsidP="00D833CA">
            <w:pPr>
              <w:spacing w:line="276" w:lineRule="auto"/>
            </w:pPr>
          </w:p>
          <w:p w14:paraId="71834908" w14:textId="77777777" w:rsidR="0093729B" w:rsidRDefault="0093729B" w:rsidP="00D833CA">
            <w:pPr>
              <w:spacing w:line="276" w:lineRule="auto"/>
            </w:pPr>
          </w:p>
          <w:p w14:paraId="5495B45C" w14:textId="77777777" w:rsidR="0093729B" w:rsidRDefault="0093729B" w:rsidP="00D833CA">
            <w:pPr>
              <w:spacing w:line="276" w:lineRule="auto"/>
            </w:pPr>
          </w:p>
          <w:p w14:paraId="0E352263" w14:textId="77777777" w:rsidR="0093729B" w:rsidRDefault="0093729B" w:rsidP="00D833CA">
            <w:pPr>
              <w:spacing w:line="276" w:lineRule="auto"/>
            </w:pPr>
          </w:p>
          <w:p w14:paraId="2774F833" w14:textId="77777777" w:rsidR="00212D1D" w:rsidRPr="006B686B" w:rsidRDefault="00777297" w:rsidP="00844AA5">
            <w:pPr>
              <w:jc w:val="right"/>
            </w:pPr>
            <w:r>
              <w:rPr>
                <w:color w:val="186AF2" w:themeColor="text2"/>
                <w:sz w:val="32"/>
                <w:szCs w:val="32"/>
              </w:rPr>
              <w:t xml:space="preserve">Règlement de consultation </w:t>
            </w:r>
            <w:r w:rsidR="002B6C00" w:rsidRPr="002B6C00">
              <w:t xml:space="preserve"> </w:t>
            </w:r>
          </w:p>
        </w:tc>
        <w:tc>
          <w:tcPr>
            <w:tcW w:w="2854" w:type="dxa"/>
          </w:tcPr>
          <w:p w14:paraId="4D6273E6" w14:textId="77777777" w:rsidR="00212D1D" w:rsidRDefault="00212D1D" w:rsidP="00840EDD">
            <w:pPr>
              <w:jc w:val="left"/>
              <w:rPr>
                <w:color w:val="186AF2" w:themeColor="text2"/>
                <w:sz w:val="32"/>
                <w:szCs w:val="32"/>
              </w:rPr>
            </w:pPr>
          </w:p>
        </w:tc>
      </w:tr>
      <w:tr w:rsidR="00212D1D" w:rsidRPr="006B686B" w14:paraId="5A0DE5B3" w14:textId="77777777" w:rsidTr="00212D1D">
        <w:trPr>
          <w:trHeight w:val="652"/>
        </w:trPr>
        <w:tc>
          <w:tcPr>
            <w:tcW w:w="6784" w:type="dxa"/>
            <w:vAlign w:val="center"/>
          </w:tcPr>
          <w:p w14:paraId="40DBBCF9" w14:textId="77777777" w:rsidR="00212D1D" w:rsidRPr="006B686B" w:rsidRDefault="00212D1D" w:rsidP="00CB4576">
            <w:pPr>
              <w:pStyle w:val="CSNEDate"/>
            </w:pPr>
          </w:p>
        </w:tc>
        <w:tc>
          <w:tcPr>
            <w:tcW w:w="2854" w:type="dxa"/>
          </w:tcPr>
          <w:p w14:paraId="48ED7E2A" w14:textId="77777777" w:rsidR="00212D1D" w:rsidRDefault="00212D1D" w:rsidP="00CB4576">
            <w:pPr>
              <w:pStyle w:val="CSNEDate"/>
            </w:pPr>
          </w:p>
        </w:tc>
      </w:tr>
    </w:tbl>
    <w:p w14:paraId="6231F910" w14:textId="77777777" w:rsidR="00892781" w:rsidRDefault="00892781" w:rsidP="00D833CA">
      <w:pPr>
        <w:spacing w:line="276" w:lineRule="auto"/>
        <w:rPr>
          <w:b/>
          <w:color w:val="186AF2" w:themeColor="text2"/>
          <w:sz w:val="32"/>
          <w:szCs w:val="32"/>
        </w:rPr>
      </w:pPr>
    </w:p>
    <w:p w14:paraId="322CD060" w14:textId="77777777" w:rsidR="00892781" w:rsidRPr="00892781" w:rsidRDefault="00777297" w:rsidP="00892781">
      <w:pPr>
        <w:rPr>
          <w:color w:val="186AF2" w:themeColor="text2"/>
          <w:sz w:val="32"/>
          <w:szCs w:val="32"/>
        </w:rPr>
      </w:pPr>
      <w:r w:rsidRPr="00892781">
        <w:rPr>
          <w:color w:val="186AF2" w:themeColor="text2"/>
          <w:sz w:val="32"/>
          <w:szCs w:val="32"/>
        </w:rPr>
        <w:t xml:space="preserve">Date et heure limite de remise des offres : </w:t>
      </w:r>
    </w:p>
    <w:p w14:paraId="7C42CC7C" w14:textId="7AFDA76D" w:rsidR="00F2528E" w:rsidRPr="00892781" w:rsidRDefault="00624BEA" w:rsidP="00892781">
      <w:pPr>
        <w:spacing w:line="276" w:lineRule="auto"/>
        <w:ind w:firstLine="708"/>
        <w:rPr>
          <w:b/>
          <w:color w:val="186AF2" w:themeColor="text2"/>
          <w:sz w:val="32"/>
          <w:szCs w:val="32"/>
        </w:rPr>
      </w:pPr>
      <w:r>
        <w:rPr>
          <w:b/>
          <w:color w:val="186AF2" w:themeColor="text2"/>
          <w:sz w:val="32"/>
          <w:szCs w:val="32"/>
        </w:rPr>
        <w:t>20</w:t>
      </w:r>
      <w:r w:rsidR="00674D88">
        <w:rPr>
          <w:b/>
          <w:color w:val="186AF2" w:themeColor="text2"/>
          <w:sz w:val="32"/>
          <w:szCs w:val="32"/>
        </w:rPr>
        <w:t>/</w:t>
      </w:r>
      <w:r>
        <w:rPr>
          <w:b/>
          <w:color w:val="186AF2" w:themeColor="text2"/>
          <w:sz w:val="32"/>
          <w:szCs w:val="32"/>
        </w:rPr>
        <w:t>12</w:t>
      </w:r>
      <w:r w:rsidR="00674D88">
        <w:rPr>
          <w:b/>
          <w:color w:val="186AF2" w:themeColor="text2"/>
          <w:sz w:val="32"/>
          <w:szCs w:val="32"/>
        </w:rPr>
        <w:t>/</w:t>
      </w:r>
      <w:r>
        <w:rPr>
          <w:b/>
          <w:color w:val="186AF2" w:themeColor="text2"/>
          <w:sz w:val="32"/>
          <w:szCs w:val="32"/>
        </w:rPr>
        <w:t>2022</w:t>
      </w:r>
      <w:r w:rsidRPr="00571171">
        <w:rPr>
          <w:b/>
          <w:color w:val="186AF2" w:themeColor="text2"/>
          <w:sz w:val="32"/>
          <w:szCs w:val="32"/>
        </w:rPr>
        <w:t xml:space="preserve"> </w:t>
      </w:r>
      <w:r w:rsidR="00CB5D69" w:rsidRPr="00571171">
        <w:rPr>
          <w:b/>
          <w:color w:val="186AF2" w:themeColor="text2"/>
          <w:sz w:val="32"/>
          <w:szCs w:val="32"/>
        </w:rPr>
        <w:t>à 1</w:t>
      </w:r>
      <w:r w:rsidR="00674D88">
        <w:rPr>
          <w:b/>
          <w:color w:val="186AF2" w:themeColor="text2"/>
          <w:sz w:val="32"/>
          <w:szCs w:val="32"/>
        </w:rPr>
        <w:t>7</w:t>
      </w:r>
      <w:r w:rsidR="00777297" w:rsidRPr="00571171">
        <w:rPr>
          <w:b/>
          <w:color w:val="186AF2" w:themeColor="text2"/>
          <w:sz w:val="32"/>
          <w:szCs w:val="32"/>
        </w:rPr>
        <w:t xml:space="preserve"> h 00</w:t>
      </w:r>
    </w:p>
    <w:p w14:paraId="29ABBA8B" w14:textId="77777777" w:rsidR="00F2528E" w:rsidRPr="00F2528E" w:rsidRDefault="00F2528E" w:rsidP="00D833CA">
      <w:pPr>
        <w:spacing w:line="276" w:lineRule="auto"/>
      </w:pPr>
    </w:p>
    <w:p w14:paraId="3C2025F6" w14:textId="77777777" w:rsidR="00F2528E" w:rsidRPr="00F2528E" w:rsidRDefault="00F2528E" w:rsidP="00D833CA">
      <w:pPr>
        <w:spacing w:line="276" w:lineRule="auto"/>
      </w:pPr>
    </w:p>
    <w:p w14:paraId="385D2270" w14:textId="77777777" w:rsidR="00777297" w:rsidRDefault="00777297" w:rsidP="00D833CA">
      <w:pPr>
        <w:spacing w:line="276" w:lineRule="auto"/>
      </w:pPr>
    </w:p>
    <w:p w14:paraId="67FEF4E2" w14:textId="77777777" w:rsidR="00777297" w:rsidRDefault="00777297" w:rsidP="00D833CA">
      <w:pPr>
        <w:spacing w:line="276" w:lineRule="auto"/>
      </w:pPr>
    </w:p>
    <w:p w14:paraId="3B0565E8" w14:textId="77777777" w:rsidR="00777297" w:rsidRDefault="00777297" w:rsidP="00D833CA">
      <w:pPr>
        <w:spacing w:line="276" w:lineRule="auto"/>
      </w:pPr>
    </w:p>
    <w:p w14:paraId="59234D05" w14:textId="77777777" w:rsidR="00777297" w:rsidRDefault="00777297" w:rsidP="00D833CA">
      <w:pPr>
        <w:spacing w:line="276" w:lineRule="auto"/>
      </w:pPr>
    </w:p>
    <w:p w14:paraId="3A4EAD8E" w14:textId="77777777" w:rsidR="00F2528E" w:rsidRDefault="00F2528E" w:rsidP="00D833CA">
      <w:pPr>
        <w:spacing w:line="276" w:lineRule="auto"/>
      </w:pPr>
    </w:p>
    <w:p w14:paraId="7764FA46" w14:textId="34EF6F80" w:rsidR="00777297" w:rsidRPr="00F2528E" w:rsidRDefault="00671BE8" w:rsidP="00777297">
      <w:pPr>
        <w:spacing w:line="276" w:lineRule="auto"/>
      </w:pPr>
      <w:r>
        <w:t>1</w:t>
      </w:r>
      <w:r w:rsidR="00B262E6">
        <w:t>7</w:t>
      </w:r>
      <w:r>
        <w:t>/11/2022</w:t>
      </w:r>
    </w:p>
    <w:p w14:paraId="77E23986" w14:textId="77777777" w:rsidR="00B202D3" w:rsidRPr="00F2528E" w:rsidRDefault="00F2528E" w:rsidP="00D833CA">
      <w:pPr>
        <w:spacing w:line="276" w:lineRule="auto"/>
        <w:sectPr w:rsidR="00B202D3" w:rsidRPr="00F2528E" w:rsidSect="00840EDD">
          <w:headerReference w:type="default" r:id="rId11"/>
          <w:footerReference w:type="default" r:id="rId12"/>
          <w:pgSz w:w="11906" w:h="16838" w:code="9"/>
          <w:pgMar w:top="3402" w:right="1134" w:bottom="1985" w:left="1134" w:header="567" w:footer="454" w:gutter="0"/>
          <w:cols w:space="708"/>
          <w:docGrid w:linePitch="360"/>
        </w:sectPr>
      </w:pPr>
      <w:r>
        <w:tab/>
      </w:r>
    </w:p>
    <w:p w14:paraId="3CC5D1AD" w14:textId="77777777" w:rsidR="002E63EA" w:rsidRDefault="002E63EA" w:rsidP="002E63EA">
      <w:pPr>
        <w:pStyle w:val="CSNETITREHORSTM"/>
      </w:pPr>
      <w:r>
        <w:lastRenderedPageBreak/>
        <w:t>SOMMAIRE</w:t>
      </w:r>
    </w:p>
    <w:p w14:paraId="16BF4ED7" w14:textId="065CCF47" w:rsidR="009D3949" w:rsidRDefault="002E63EA">
      <w:pPr>
        <w:pStyle w:val="TM1"/>
        <w:rPr>
          <w:rFonts w:eastAsiaTheme="minorEastAsia"/>
          <w:b w:val="0"/>
          <w:noProof/>
          <w:color w:val="auto"/>
          <w:sz w:val="22"/>
          <w:lang w:eastAsia="fr-FR"/>
        </w:rPr>
      </w:pPr>
      <w:r>
        <w:fldChar w:fldCharType="begin"/>
      </w:r>
      <w:r>
        <w:instrText xml:space="preserve"> TOC \o "1-3" \h \z \u </w:instrText>
      </w:r>
      <w:r>
        <w:fldChar w:fldCharType="separate"/>
      </w:r>
      <w:hyperlink w:anchor="_Toc119173933" w:history="1">
        <w:r w:rsidR="009D3949" w:rsidRPr="005122A8">
          <w:rPr>
            <w:rStyle w:val="Lienhypertexte"/>
            <w:noProof/>
          </w:rPr>
          <w:t>1. Objet de la consultation</w:t>
        </w:r>
        <w:r w:rsidR="009D3949">
          <w:rPr>
            <w:noProof/>
            <w:webHidden/>
          </w:rPr>
          <w:tab/>
        </w:r>
        <w:r w:rsidR="009D3949">
          <w:rPr>
            <w:noProof/>
            <w:webHidden/>
          </w:rPr>
          <w:fldChar w:fldCharType="begin"/>
        </w:r>
        <w:r w:rsidR="009D3949">
          <w:rPr>
            <w:noProof/>
            <w:webHidden/>
          </w:rPr>
          <w:instrText xml:space="preserve"> PAGEREF _Toc119173933 \h </w:instrText>
        </w:r>
        <w:r w:rsidR="009D3949">
          <w:rPr>
            <w:noProof/>
            <w:webHidden/>
          </w:rPr>
        </w:r>
        <w:r w:rsidR="009D3949">
          <w:rPr>
            <w:noProof/>
            <w:webHidden/>
          </w:rPr>
          <w:fldChar w:fldCharType="separate"/>
        </w:r>
        <w:r w:rsidR="009D3949">
          <w:rPr>
            <w:noProof/>
            <w:webHidden/>
          </w:rPr>
          <w:t>5</w:t>
        </w:r>
        <w:r w:rsidR="009D3949">
          <w:rPr>
            <w:noProof/>
            <w:webHidden/>
          </w:rPr>
          <w:fldChar w:fldCharType="end"/>
        </w:r>
      </w:hyperlink>
    </w:p>
    <w:p w14:paraId="44404E2B" w14:textId="66297B2B" w:rsidR="009D3949" w:rsidRDefault="0082178B">
      <w:pPr>
        <w:pStyle w:val="TM1"/>
        <w:rPr>
          <w:rFonts w:eastAsiaTheme="minorEastAsia"/>
          <w:b w:val="0"/>
          <w:noProof/>
          <w:color w:val="auto"/>
          <w:sz w:val="22"/>
          <w:lang w:eastAsia="fr-FR"/>
        </w:rPr>
      </w:pPr>
      <w:hyperlink w:anchor="_Toc119173934" w:history="1">
        <w:r w:rsidR="009D3949" w:rsidRPr="005122A8">
          <w:rPr>
            <w:rStyle w:val="Lienhypertexte"/>
            <w:noProof/>
          </w:rPr>
          <w:t>2. Condition de la consultation</w:t>
        </w:r>
        <w:r w:rsidR="009D3949">
          <w:rPr>
            <w:noProof/>
            <w:webHidden/>
          </w:rPr>
          <w:tab/>
        </w:r>
        <w:r w:rsidR="009D3949">
          <w:rPr>
            <w:noProof/>
            <w:webHidden/>
          </w:rPr>
          <w:fldChar w:fldCharType="begin"/>
        </w:r>
        <w:r w:rsidR="009D3949">
          <w:rPr>
            <w:noProof/>
            <w:webHidden/>
          </w:rPr>
          <w:instrText xml:space="preserve"> PAGEREF _Toc119173934 \h </w:instrText>
        </w:r>
        <w:r w:rsidR="009D3949">
          <w:rPr>
            <w:noProof/>
            <w:webHidden/>
          </w:rPr>
        </w:r>
        <w:r w:rsidR="009D3949">
          <w:rPr>
            <w:noProof/>
            <w:webHidden/>
          </w:rPr>
          <w:fldChar w:fldCharType="separate"/>
        </w:r>
        <w:r w:rsidR="009D3949">
          <w:rPr>
            <w:noProof/>
            <w:webHidden/>
          </w:rPr>
          <w:t>5</w:t>
        </w:r>
        <w:r w:rsidR="009D3949">
          <w:rPr>
            <w:noProof/>
            <w:webHidden/>
          </w:rPr>
          <w:fldChar w:fldCharType="end"/>
        </w:r>
      </w:hyperlink>
    </w:p>
    <w:p w14:paraId="7203AD12" w14:textId="07321EA4" w:rsidR="009D3949" w:rsidRDefault="0082178B">
      <w:pPr>
        <w:pStyle w:val="TM2"/>
        <w:rPr>
          <w:rFonts w:eastAsiaTheme="minorEastAsia"/>
          <w:noProof/>
          <w:sz w:val="22"/>
          <w:lang w:eastAsia="fr-FR"/>
        </w:rPr>
      </w:pPr>
      <w:hyperlink w:anchor="_Toc119173935" w:history="1">
        <w:r w:rsidR="009D3949" w:rsidRPr="005122A8">
          <w:rPr>
            <w:rStyle w:val="Lienhypertexte"/>
            <w:noProof/>
          </w:rPr>
          <w:t>2.1. Définition de la procédure</w:t>
        </w:r>
        <w:r w:rsidR="009D3949">
          <w:rPr>
            <w:noProof/>
            <w:webHidden/>
          </w:rPr>
          <w:tab/>
        </w:r>
        <w:r w:rsidR="009D3949">
          <w:rPr>
            <w:noProof/>
            <w:webHidden/>
          </w:rPr>
          <w:fldChar w:fldCharType="begin"/>
        </w:r>
        <w:r w:rsidR="009D3949">
          <w:rPr>
            <w:noProof/>
            <w:webHidden/>
          </w:rPr>
          <w:instrText xml:space="preserve"> PAGEREF _Toc119173935 \h </w:instrText>
        </w:r>
        <w:r w:rsidR="009D3949">
          <w:rPr>
            <w:noProof/>
            <w:webHidden/>
          </w:rPr>
        </w:r>
        <w:r w:rsidR="009D3949">
          <w:rPr>
            <w:noProof/>
            <w:webHidden/>
          </w:rPr>
          <w:fldChar w:fldCharType="separate"/>
        </w:r>
        <w:r w:rsidR="009D3949">
          <w:rPr>
            <w:noProof/>
            <w:webHidden/>
          </w:rPr>
          <w:t>5</w:t>
        </w:r>
        <w:r w:rsidR="009D3949">
          <w:rPr>
            <w:noProof/>
            <w:webHidden/>
          </w:rPr>
          <w:fldChar w:fldCharType="end"/>
        </w:r>
      </w:hyperlink>
    </w:p>
    <w:p w14:paraId="1213897F" w14:textId="1451A1B1" w:rsidR="009D3949" w:rsidRDefault="0082178B">
      <w:pPr>
        <w:pStyle w:val="TM2"/>
        <w:rPr>
          <w:rFonts w:eastAsiaTheme="minorEastAsia"/>
          <w:noProof/>
          <w:sz w:val="22"/>
          <w:lang w:eastAsia="fr-FR"/>
        </w:rPr>
      </w:pPr>
      <w:hyperlink w:anchor="_Toc119173936" w:history="1">
        <w:r w:rsidR="009D3949" w:rsidRPr="005122A8">
          <w:rPr>
            <w:rStyle w:val="Lienhypertexte"/>
            <w:noProof/>
          </w:rPr>
          <w:t>2.2. Forme du marché public</w:t>
        </w:r>
        <w:r w:rsidR="009D3949">
          <w:rPr>
            <w:noProof/>
            <w:webHidden/>
          </w:rPr>
          <w:tab/>
        </w:r>
        <w:r w:rsidR="009D3949">
          <w:rPr>
            <w:noProof/>
            <w:webHidden/>
          </w:rPr>
          <w:fldChar w:fldCharType="begin"/>
        </w:r>
        <w:r w:rsidR="009D3949">
          <w:rPr>
            <w:noProof/>
            <w:webHidden/>
          </w:rPr>
          <w:instrText xml:space="preserve"> PAGEREF _Toc119173936 \h </w:instrText>
        </w:r>
        <w:r w:rsidR="009D3949">
          <w:rPr>
            <w:noProof/>
            <w:webHidden/>
          </w:rPr>
        </w:r>
        <w:r w:rsidR="009D3949">
          <w:rPr>
            <w:noProof/>
            <w:webHidden/>
          </w:rPr>
          <w:fldChar w:fldCharType="separate"/>
        </w:r>
        <w:r w:rsidR="009D3949">
          <w:rPr>
            <w:noProof/>
            <w:webHidden/>
          </w:rPr>
          <w:t>5</w:t>
        </w:r>
        <w:r w:rsidR="009D3949">
          <w:rPr>
            <w:noProof/>
            <w:webHidden/>
          </w:rPr>
          <w:fldChar w:fldCharType="end"/>
        </w:r>
      </w:hyperlink>
    </w:p>
    <w:p w14:paraId="128E8DA7" w14:textId="7BB456AF" w:rsidR="009D3949" w:rsidRDefault="0082178B">
      <w:pPr>
        <w:pStyle w:val="TM2"/>
        <w:rPr>
          <w:rFonts w:eastAsiaTheme="minorEastAsia"/>
          <w:noProof/>
          <w:sz w:val="22"/>
          <w:lang w:eastAsia="fr-FR"/>
        </w:rPr>
      </w:pPr>
      <w:hyperlink w:anchor="_Toc119173937" w:history="1">
        <w:r w:rsidR="009D3949" w:rsidRPr="005122A8">
          <w:rPr>
            <w:rStyle w:val="Lienhypertexte"/>
            <w:noProof/>
          </w:rPr>
          <w:t>2.3. Découpage des prestations</w:t>
        </w:r>
        <w:r w:rsidR="009D3949">
          <w:rPr>
            <w:noProof/>
            <w:webHidden/>
          </w:rPr>
          <w:tab/>
        </w:r>
        <w:r w:rsidR="009D3949">
          <w:rPr>
            <w:noProof/>
            <w:webHidden/>
          </w:rPr>
          <w:fldChar w:fldCharType="begin"/>
        </w:r>
        <w:r w:rsidR="009D3949">
          <w:rPr>
            <w:noProof/>
            <w:webHidden/>
          </w:rPr>
          <w:instrText xml:space="preserve"> PAGEREF _Toc119173937 \h </w:instrText>
        </w:r>
        <w:r w:rsidR="009D3949">
          <w:rPr>
            <w:noProof/>
            <w:webHidden/>
          </w:rPr>
        </w:r>
        <w:r w:rsidR="009D3949">
          <w:rPr>
            <w:noProof/>
            <w:webHidden/>
          </w:rPr>
          <w:fldChar w:fldCharType="separate"/>
        </w:r>
        <w:r w:rsidR="009D3949">
          <w:rPr>
            <w:noProof/>
            <w:webHidden/>
          </w:rPr>
          <w:t>5</w:t>
        </w:r>
        <w:r w:rsidR="009D3949">
          <w:rPr>
            <w:noProof/>
            <w:webHidden/>
          </w:rPr>
          <w:fldChar w:fldCharType="end"/>
        </w:r>
      </w:hyperlink>
    </w:p>
    <w:p w14:paraId="01DD0235" w14:textId="620D3206" w:rsidR="009D3949" w:rsidRDefault="0082178B">
      <w:pPr>
        <w:pStyle w:val="TM3"/>
        <w:tabs>
          <w:tab w:val="right" w:leader="dot" w:pos="9344"/>
        </w:tabs>
        <w:rPr>
          <w:rFonts w:eastAsiaTheme="minorEastAsia"/>
          <w:noProof/>
          <w:color w:val="auto"/>
          <w:sz w:val="22"/>
          <w:lang w:eastAsia="fr-FR"/>
        </w:rPr>
      </w:pPr>
      <w:hyperlink w:anchor="_Toc119173938" w:history="1">
        <w:r w:rsidR="009D3949" w:rsidRPr="005122A8">
          <w:rPr>
            <w:rStyle w:val="Lienhypertexte"/>
            <w:noProof/>
          </w:rPr>
          <w:t>2.3.1. Décomposition en lots</w:t>
        </w:r>
        <w:r w:rsidR="009D3949">
          <w:rPr>
            <w:noProof/>
            <w:webHidden/>
          </w:rPr>
          <w:tab/>
        </w:r>
        <w:r w:rsidR="009D3949">
          <w:rPr>
            <w:noProof/>
            <w:webHidden/>
          </w:rPr>
          <w:fldChar w:fldCharType="begin"/>
        </w:r>
        <w:r w:rsidR="009D3949">
          <w:rPr>
            <w:noProof/>
            <w:webHidden/>
          </w:rPr>
          <w:instrText xml:space="preserve"> PAGEREF _Toc119173938 \h </w:instrText>
        </w:r>
        <w:r w:rsidR="009D3949">
          <w:rPr>
            <w:noProof/>
            <w:webHidden/>
          </w:rPr>
        </w:r>
        <w:r w:rsidR="009D3949">
          <w:rPr>
            <w:noProof/>
            <w:webHidden/>
          </w:rPr>
          <w:fldChar w:fldCharType="separate"/>
        </w:r>
        <w:r w:rsidR="009D3949">
          <w:rPr>
            <w:noProof/>
            <w:webHidden/>
          </w:rPr>
          <w:t>5</w:t>
        </w:r>
        <w:r w:rsidR="009D3949">
          <w:rPr>
            <w:noProof/>
            <w:webHidden/>
          </w:rPr>
          <w:fldChar w:fldCharType="end"/>
        </w:r>
      </w:hyperlink>
    </w:p>
    <w:p w14:paraId="16AA6A1F" w14:textId="4CD52770" w:rsidR="009D3949" w:rsidRDefault="0082178B">
      <w:pPr>
        <w:pStyle w:val="TM3"/>
        <w:tabs>
          <w:tab w:val="right" w:leader="dot" w:pos="9344"/>
        </w:tabs>
        <w:rPr>
          <w:rFonts w:eastAsiaTheme="minorEastAsia"/>
          <w:noProof/>
          <w:color w:val="auto"/>
          <w:sz w:val="22"/>
          <w:lang w:eastAsia="fr-FR"/>
        </w:rPr>
      </w:pPr>
      <w:hyperlink w:anchor="_Toc119173939" w:history="1">
        <w:r w:rsidR="009D3949" w:rsidRPr="005122A8">
          <w:rPr>
            <w:rStyle w:val="Lienhypertexte"/>
            <w:noProof/>
          </w:rPr>
          <w:t>2.3.2. Décomposition en tranches</w:t>
        </w:r>
        <w:r w:rsidR="009D3949">
          <w:rPr>
            <w:noProof/>
            <w:webHidden/>
          </w:rPr>
          <w:tab/>
        </w:r>
        <w:r w:rsidR="009D3949">
          <w:rPr>
            <w:noProof/>
            <w:webHidden/>
          </w:rPr>
          <w:fldChar w:fldCharType="begin"/>
        </w:r>
        <w:r w:rsidR="009D3949">
          <w:rPr>
            <w:noProof/>
            <w:webHidden/>
          </w:rPr>
          <w:instrText xml:space="preserve"> PAGEREF _Toc119173939 \h </w:instrText>
        </w:r>
        <w:r w:rsidR="009D3949">
          <w:rPr>
            <w:noProof/>
            <w:webHidden/>
          </w:rPr>
        </w:r>
        <w:r w:rsidR="009D3949">
          <w:rPr>
            <w:noProof/>
            <w:webHidden/>
          </w:rPr>
          <w:fldChar w:fldCharType="separate"/>
        </w:r>
        <w:r w:rsidR="009D3949">
          <w:rPr>
            <w:noProof/>
            <w:webHidden/>
          </w:rPr>
          <w:t>6</w:t>
        </w:r>
        <w:r w:rsidR="009D3949">
          <w:rPr>
            <w:noProof/>
            <w:webHidden/>
          </w:rPr>
          <w:fldChar w:fldCharType="end"/>
        </w:r>
      </w:hyperlink>
    </w:p>
    <w:p w14:paraId="22B5E9F4" w14:textId="78E263AC" w:rsidR="009D3949" w:rsidRDefault="0082178B">
      <w:pPr>
        <w:pStyle w:val="TM2"/>
        <w:rPr>
          <w:rFonts w:eastAsiaTheme="minorEastAsia"/>
          <w:noProof/>
          <w:sz w:val="22"/>
          <w:lang w:eastAsia="fr-FR"/>
        </w:rPr>
      </w:pPr>
      <w:hyperlink w:anchor="_Toc119173940" w:history="1">
        <w:r w:rsidR="009D3949" w:rsidRPr="005122A8">
          <w:rPr>
            <w:rStyle w:val="Lienhypertexte"/>
            <w:noProof/>
          </w:rPr>
          <w:t>2.4. Options</w:t>
        </w:r>
        <w:r w:rsidR="009D3949">
          <w:rPr>
            <w:noProof/>
            <w:webHidden/>
          </w:rPr>
          <w:tab/>
        </w:r>
        <w:r w:rsidR="009D3949">
          <w:rPr>
            <w:noProof/>
            <w:webHidden/>
          </w:rPr>
          <w:fldChar w:fldCharType="begin"/>
        </w:r>
        <w:r w:rsidR="009D3949">
          <w:rPr>
            <w:noProof/>
            <w:webHidden/>
          </w:rPr>
          <w:instrText xml:space="preserve"> PAGEREF _Toc119173940 \h </w:instrText>
        </w:r>
        <w:r w:rsidR="009D3949">
          <w:rPr>
            <w:noProof/>
            <w:webHidden/>
          </w:rPr>
        </w:r>
        <w:r w:rsidR="009D3949">
          <w:rPr>
            <w:noProof/>
            <w:webHidden/>
          </w:rPr>
          <w:fldChar w:fldCharType="separate"/>
        </w:r>
        <w:r w:rsidR="009D3949">
          <w:rPr>
            <w:noProof/>
            <w:webHidden/>
          </w:rPr>
          <w:t>6</w:t>
        </w:r>
        <w:r w:rsidR="009D3949">
          <w:rPr>
            <w:noProof/>
            <w:webHidden/>
          </w:rPr>
          <w:fldChar w:fldCharType="end"/>
        </w:r>
      </w:hyperlink>
    </w:p>
    <w:p w14:paraId="37DCF315" w14:textId="42C877B7" w:rsidR="009D3949" w:rsidRDefault="0082178B">
      <w:pPr>
        <w:pStyle w:val="TM3"/>
        <w:tabs>
          <w:tab w:val="right" w:leader="dot" w:pos="9344"/>
        </w:tabs>
        <w:rPr>
          <w:rFonts w:eastAsiaTheme="minorEastAsia"/>
          <w:noProof/>
          <w:color w:val="auto"/>
          <w:sz w:val="22"/>
          <w:lang w:eastAsia="fr-FR"/>
        </w:rPr>
      </w:pPr>
      <w:hyperlink w:anchor="_Toc119173941" w:history="1">
        <w:r w:rsidR="009D3949" w:rsidRPr="005122A8">
          <w:rPr>
            <w:rStyle w:val="Lienhypertexte"/>
            <w:noProof/>
          </w:rPr>
          <w:t>2.4.1. Reconduction</w:t>
        </w:r>
        <w:r w:rsidR="009D3949">
          <w:rPr>
            <w:noProof/>
            <w:webHidden/>
          </w:rPr>
          <w:tab/>
        </w:r>
        <w:r w:rsidR="009D3949">
          <w:rPr>
            <w:noProof/>
            <w:webHidden/>
          </w:rPr>
          <w:fldChar w:fldCharType="begin"/>
        </w:r>
        <w:r w:rsidR="009D3949">
          <w:rPr>
            <w:noProof/>
            <w:webHidden/>
          </w:rPr>
          <w:instrText xml:space="preserve"> PAGEREF _Toc119173941 \h </w:instrText>
        </w:r>
        <w:r w:rsidR="009D3949">
          <w:rPr>
            <w:noProof/>
            <w:webHidden/>
          </w:rPr>
        </w:r>
        <w:r w:rsidR="009D3949">
          <w:rPr>
            <w:noProof/>
            <w:webHidden/>
          </w:rPr>
          <w:fldChar w:fldCharType="separate"/>
        </w:r>
        <w:r w:rsidR="009D3949">
          <w:rPr>
            <w:noProof/>
            <w:webHidden/>
          </w:rPr>
          <w:t>6</w:t>
        </w:r>
        <w:r w:rsidR="009D3949">
          <w:rPr>
            <w:noProof/>
            <w:webHidden/>
          </w:rPr>
          <w:fldChar w:fldCharType="end"/>
        </w:r>
      </w:hyperlink>
    </w:p>
    <w:p w14:paraId="3266445F" w14:textId="196BBC01" w:rsidR="009D3949" w:rsidRDefault="0082178B">
      <w:pPr>
        <w:pStyle w:val="TM3"/>
        <w:tabs>
          <w:tab w:val="right" w:leader="dot" w:pos="9344"/>
        </w:tabs>
        <w:rPr>
          <w:rFonts w:eastAsiaTheme="minorEastAsia"/>
          <w:noProof/>
          <w:color w:val="auto"/>
          <w:sz w:val="22"/>
          <w:lang w:eastAsia="fr-FR"/>
        </w:rPr>
      </w:pPr>
      <w:hyperlink w:anchor="_Toc119173942" w:history="1">
        <w:r w:rsidR="009D3949" w:rsidRPr="005122A8">
          <w:rPr>
            <w:rStyle w:val="Lienhypertexte"/>
            <w:noProof/>
          </w:rPr>
          <w:t>2.4.2. Prestations similaires</w:t>
        </w:r>
        <w:r w:rsidR="009D3949">
          <w:rPr>
            <w:noProof/>
            <w:webHidden/>
          </w:rPr>
          <w:tab/>
        </w:r>
        <w:r w:rsidR="009D3949">
          <w:rPr>
            <w:noProof/>
            <w:webHidden/>
          </w:rPr>
          <w:fldChar w:fldCharType="begin"/>
        </w:r>
        <w:r w:rsidR="009D3949">
          <w:rPr>
            <w:noProof/>
            <w:webHidden/>
          </w:rPr>
          <w:instrText xml:space="preserve"> PAGEREF _Toc119173942 \h </w:instrText>
        </w:r>
        <w:r w:rsidR="009D3949">
          <w:rPr>
            <w:noProof/>
            <w:webHidden/>
          </w:rPr>
        </w:r>
        <w:r w:rsidR="009D3949">
          <w:rPr>
            <w:noProof/>
            <w:webHidden/>
          </w:rPr>
          <w:fldChar w:fldCharType="separate"/>
        </w:r>
        <w:r w:rsidR="009D3949">
          <w:rPr>
            <w:noProof/>
            <w:webHidden/>
          </w:rPr>
          <w:t>6</w:t>
        </w:r>
        <w:r w:rsidR="009D3949">
          <w:rPr>
            <w:noProof/>
            <w:webHidden/>
          </w:rPr>
          <w:fldChar w:fldCharType="end"/>
        </w:r>
      </w:hyperlink>
    </w:p>
    <w:p w14:paraId="1859BEE4" w14:textId="35E9A0AD" w:rsidR="009D3949" w:rsidRDefault="0082178B">
      <w:pPr>
        <w:pStyle w:val="TM2"/>
        <w:rPr>
          <w:rFonts w:eastAsiaTheme="minorEastAsia"/>
          <w:noProof/>
          <w:sz w:val="22"/>
          <w:lang w:eastAsia="fr-FR"/>
        </w:rPr>
      </w:pPr>
      <w:hyperlink w:anchor="_Toc119173943" w:history="1">
        <w:r w:rsidR="009D3949" w:rsidRPr="005122A8">
          <w:rPr>
            <w:rStyle w:val="Lienhypertexte"/>
            <w:noProof/>
          </w:rPr>
          <w:t>2.5. Encadrement financier des commandes</w:t>
        </w:r>
        <w:r w:rsidR="009D3949">
          <w:rPr>
            <w:noProof/>
            <w:webHidden/>
          </w:rPr>
          <w:tab/>
        </w:r>
        <w:r w:rsidR="009D3949">
          <w:rPr>
            <w:noProof/>
            <w:webHidden/>
          </w:rPr>
          <w:fldChar w:fldCharType="begin"/>
        </w:r>
        <w:r w:rsidR="009D3949">
          <w:rPr>
            <w:noProof/>
            <w:webHidden/>
          </w:rPr>
          <w:instrText xml:space="preserve"> PAGEREF _Toc119173943 \h </w:instrText>
        </w:r>
        <w:r w:rsidR="009D3949">
          <w:rPr>
            <w:noProof/>
            <w:webHidden/>
          </w:rPr>
        </w:r>
        <w:r w:rsidR="009D3949">
          <w:rPr>
            <w:noProof/>
            <w:webHidden/>
          </w:rPr>
          <w:fldChar w:fldCharType="separate"/>
        </w:r>
        <w:r w:rsidR="009D3949">
          <w:rPr>
            <w:noProof/>
            <w:webHidden/>
          </w:rPr>
          <w:t>6</w:t>
        </w:r>
        <w:r w:rsidR="009D3949">
          <w:rPr>
            <w:noProof/>
            <w:webHidden/>
          </w:rPr>
          <w:fldChar w:fldCharType="end"/>
        </w:r>
      </w:hyperlink>
    </w:p>
    <w:p w14:paraId="45FCE427" w14:textId="24522FA9" w:rsidR="009D3949" w:rsidRDefault="0082178B">
      <w:pPr>
        <w:pStyle w:val="TM2"/>
        <w:rPr>
          <w:rFonts w:eastAsiaTheme="minorEastAsia"/>
          <w:noProof/>
          <w:sz w:val="22"/>
          <w:lang w:eastAsia="fr-FR"/>
        </w:rPr>
      </w:pPr>
      <w:hyperlink w:anchor="_Toc119173944" w:history="1">
        <w:r w:rsidR="009D3949" w:rsidRPr="005122A8">
          <w:rPr>
            <w:rStyle w:val="Lienhypertexte"/>
            <w:noProof/>
          </w:rPr>
          <w:t>2.6. Durée de l’accord-cadre et délais d’exécution</w:t>
        </w:r>
        <w:r w:rsidR="009D3949">
          <w:rPr>
            <w:noProof/>
            <w:webHidden/>
          </w:rPr>
          <w:tab/>
        </w:r>
        <w:r w:rsidR="009D3949">
          <w:rPr>
            <w:noProof/>
            <w:webHidden/>
          </w:rPr>
          <w:fldChar w:fldCharType="begin"/>
        </w:r>
        <w:r w:rsidR="009D3949">
          <w:rPr>
            <w:noProof/>
            <w:webHidden/>
          </w:rPr>
          <w:instrText xml:space="preserve"> PAGEREF _Toc119173944 \h </w:instrText>
        </w:r>
        <w:r w:rsidR="009D3949">
          <w:rPr>
            <w:noProof/>
            <w:webHidden/>
          </w:rPr>
        </w:r>
        <w:r w:rsidR="009D3949">
          <w:rPr>
            <w:noProof/>
            <w:webHidden/>
          </w:rPr>
          <w:fldChar w:fldCharType="separate"/>
        </w:r>
        <w:r w:rsidR="009D3949">
          <w:rPr>
            <w:noProof/>
            <w:webHidden/>
          </w:rPr>
          <w:t>7</w:t>
        </w:r>
        <w:r w:rsidR="009D3949">
          <w:rPr>
            <w:noProof/>
            <w:webHidden/>
          </w:rPr>
          <w:fldChar w:fldCharType="end"/>
        </w:r>
      </w:hyperlink>
    </w:p>
    <w:p w14:paraId="11C99645" w14:textId="3BEADB2A" w:rsidR="009D3949" w:rsidRDefault="0082178B">
      <w:pPr>
        <w:pStyle w:val="TM2"/>
        <w:rPr>
          <w:rFonts w:eastAsiaTheme="minorEastAsia"/>
          <w:noProof/>
          <w:sz w:val="22"/>
          <w:lang w:eastAsia="fr-FR"/>
        </w:rPr>
      </w:pPr>
      <w:hyperlink w:anchor="_Toc119173945" w:history="1">
        <w:r w:rsidR="009D3949" w:rsidRPr="005122A8">
          <w:rPr>
            <w:rStyle w:val="Lienhypertexte"/>
            <w:noProof/>
          </w:rPr>
          <w:t>2.7. Variantes</w:t>
        </w:r>
        <w:r w:rsidR="009D3949">
          <w:rPr>
            <w:noProof/>
            <w:webHidden/>
          </w:rPr>
          <w:tab/>
        </w:r>
        <w:r w:rsidR="009D3949">
          <w:rPr>
            <w:noProof/>
            <w:webHidden/>
          </w:rPr>
          <w:fldChar w:fldCharType="begin"/>
        </w:r>
        <w:r w:rsidR="009D3949">
          <w:rPr>
            <w:noProof/>
            <w:webHidden/>
          </w:rPr>
          <w:instrText xml:space="preserve"> PAGEREF _Toc119173945 \h </w:instrText>
        </w:r>
        <w:r w:rsidR="009D3949">
          <w:rPr>
            <w:noProof/>
            <w:webHidden/>
          </w:rPr>
        </w:r>
        <w:r w:rsidR="009D3949">
          <w:rPr>
            <w:noProof/>
            <w:webHidden/>
          </w:rPr>
          <w:fldChar w:fldCharType="separate"/>
        </w:r>
        <w:r w:rsidR="009D3949">
          <w:rPr>
            <w:noProof/>
            <w:webHidden/>
          </w:rPr>
          <w:t>7</w:t>
        </w:r>
        <w:r w:rsidR="009D3949">
          <w:rPr>
            <w:noProof/>
            <w:webHidden/>
          </w:rPr>
          <w:fldChar w:fldCharType="end"/>
        </w:r>
      </w:hyperlink>
    </w:p>
    <w:p w14:paraId="7D969055" w14:textId="6358665A" w:rsidR="009D3949" w:rsidRDefault="0082178B">
      <w:pPr>
        <w:pStyle w:val="TM1"/>
        <w:rPr>
          <w:rFonts w:eastAsiaTheme="minorEastAsia"/>
          <w:b w:val="0"/>
          <w:noProof/>
          <w:color w:val="auto"/>
          <w:sz w:val="22"/>
          <w:lang w:eastAsia="fr-FR"/>
        </w:rPr>
      </w:pPr>
      <w:hyperlink w:anchor="_Toc119173946" w:history="1">
        <w:r w:rsidR="009D3949" w:rsidRPr="005122A8">
          <w:rPr>
            <w:rStyle w:val="Lienhypertexte"/>
            <w:noProof/>
          </w:rPr>
          <w:t>3. Renseignement d’ordre juridique, économique, financier et technique</w:t>
        </w:r>
        <w:r w:rsidR="009D3949">
          <w:rPr>
            <w:noProof/>
            <w:webHidden/>
          </w:rPr>
          <w:tab/>
        </w:r>
        <w:r w:rsidR="009D3949">
          <w:rPr>
            <w:noProof/>
            <w:webHidden/>
          </w:rPr>
          <w:fldChar w:fldCharType="begin"/>
        </w:r>
        <w:r w:rsidR="009D3949">
          <w:rPr>
            <w:noProof/>
            <w:webHidden/>
          </w:rPr>
          <w:instrText xml:space="preserve"> PAGEREF _Toc119173946 \h </w:instrText>
        </w:r>
        <w:r w:rsidR="009D3949">
          <w:rPr>
            <w:noProof/>
            <w:webHidden/>
          </w:rPr>
        </w:r>
        <w:r w:rsidR="009D3949">
          <w:rPr>
            <w:noProof/>
            <w:webHidden/>
          </w:rPr>
          <w:fldChar w:fldCharType="separate"/>
        </w:r>
        <w:r w:rsidR="009D3949">
          <w:rPr>
            <w:noProof/>
            <w:webHidden/>
          </w:rPr>
          <w:t>7</w:t>
        </w:r>
        <w:r w:rsidR="009D3949">
          <w:rPr>
            <w:noProof/>
            <w:webHidden/>
          </w:rPr>
          <w:fldChar w:fldCharType="end"/>
        </w:r>
      </w:hyperlink>
    </w:p>
    <w:p w14:paraId="142C00B9" w14:textId="1C9D6EFC" w:rsidR="009D3949" w:rsidRDefault="0082178B">
      <w:pPr>
        <w:pStyle w:val="TM2"/>
        <w:rPr>
          <w:rFonts w:eastAsiaTheme="minorEastAsia"/>
          <w:noProof/>
          <w:sz w:val="22"/>
          <w:lang w:eastAsia="fr-FR"/>
        </w:rPr>
      </w:pPr>
      <w:hyperlink w:anchor="_Toc119173947" w:history="1">
        <w:r w:rsidR="009D3949" w:rsidRPr="005122A8">
          <w:rPr>
            <w:rStyle w:val="Lienhypertexte"/>
            <w:noProof/>
          </w:rPr>
          <w:t>3.1. Modalités d’attribution des lots</w:t>
        </w:r>
        <w:r w:rsidR="009D3949">
          <w:rPr>
            <w:noProof/>
            <w:webHidden/>
          </w:rPr>
          <w:tab/>
        </w:r>
        <w:r w:rsidR="009D3949">
          <w:rPr>
            <w:noProof/>
            <w:webHidden/>
          </w:rPr>
          <w:fldChar w:fldCharType="begin"/>
        </w:r>
        <w:r w:rsidR="009D3949">
          <w:rPr>
            <w:noProof/>
            <w:webHidden/>
          </w:rPr>
          <w:instrText xml:space="preserve"> PAGEREF _Toc119173947 \h </w:instrText>
        </w:r>
        <w:r w:rsidR="009D3949">
          <w:rPr>
            <w:noProof/>
            <w:webHidden/>
          </w:rPr>
        </w:r>
        <w:r w:rsidR="009D3949">
          <w:rPr>
            <w:noProof/>
            <w:webHidden/>
          </w:rPr>
          <w:fldChar w:fldCharType="separate"/>
        </w:r>
        <w:r w:rsidR="009D3949">
          <w:rPr>
            <w:noProof/>
            <w:webHidden/>
          </w:rPr>
          <w:t>7</w:t>
        </w:r>
        <w:r w:rsidR="009D3949">
          <w:rPr>
            <w:noProof/>
            <w:webHidden/>
          </w:rPr>
          <w:fldChar w:fldCharType="end"/>
        </w:r>
      </w:hyperlink>
    </w:p>
    <w:p w14:paraId="772465C9" w14:textId="63E4C44D" w:rsidR="009D3949" w:rsidRDefault="0082178B">
      <w:pPr>
        <w:pStyle w:val="TM2"/>
        <w:rPr>
          <w:rFonts w:eastAsiaTheme="minorEastAsia"/>
          <w:noProof/>
          <w:sz w:val="22"/>
          <w:lang w:eastAsia="fr-FR"/>
        </w:rPr>
      </w:pPr>
      <w:hyperlink w:anchor="_Toc119173948" w:history="1">
        <w:r w:rsidR="009D3949" w:rsidRPr="005122A8">
          <w:rPr>
            <w:rStyle w:val="Lienhypertexte"/>
            <w:noProof/>
          </w:rPr>
          <w:t>3.2. Nature de l’attributaire</w:t>
        </w:r>
        <w:r w:rsidR="009D3949">
          <w:rPr>
            <w:noProof/>
            <w:webHidden/>
          </w:rPr>
          <w:tab/>
        </w:r>
        <w:r w:rsidR="009D3949">
          <w:rPr>
            <w:noProof/>
            <w:webHidden/>
          </w:rPr>
          <w:fldChar w:fldCharType="begin"/>
        </w:r>
        <w:r w:rsidR="009D3949">
          <w:rPr>
            <w:noProof/>
            <w:webHidden/>
          </w:rPr>
          <w:instrText xml:space="preserve"> PAGEREF _Toc119173948 \h </w:instrText>
        </w:r>
        <w:r w:rsidR="009D3949">
          <w:rPr>
            <w:noProof/>
            <w:webHidden/>
          </w:rPr>
        </w:r>
        <w:r w:rsidR="009D3949">
          <w:rPr>
            <w:noProof/>
            <w:webHidden/>
          </w:rPr>
          <w:fldChar w:fldCharType="separate"/>
        </w:r>
        <w:r w:rsidR="009D3949">
          <w:rPr>
            <w:noProof/>
            <w:webHidden/>
          </w:rPr>
          <w:t>7</w:t>
        </w:r>
        <w:r w:rsidR="009D3949">
          <w:rPr>
            <w:noProof/>
            <w:webHidden/>
          </w:rPr>
          <w:fldChar w:fldCharType="end"/>
        </w:r>
      </w:hyperlink>
    </w:p>
    <w:p w14:paraId="4A61D325" w14:textId="132F0433" w:rsidR="009D3949" w:rsidRDefault="0082178B">
      <w:pPr>
        <w:pStyle w:val="TM2"/>
        <w:rPr>
          <w:rFonts w:eastAsiaTheme="minorEastAsia"/>
          <w:noProof/>
          <w:sz w:val="22"/>
          <w:lang w:eastAsia="fr-FR"/>
        </w:rPr>
      </w:pPr>
      <w:hyperlink w:anchor="_Toc119173949" w:history="1">
        <w:r w:rsidR="009D3949" w:rsidRPr="005122A8">
          <w:rPr>
            <w:rStyle w:val="Lienhypertexte"/>
            <w:noProof/>
          </w:rPr>
          <w:t>3.3. Sous traitance</w:t>
        </w:r>
        <w:r w:rsidR="009D3949">
          <w:rPr>
            <w:noProof/>
            <w:webHidden/>
          </w:rPr>
          <w:tab/>
        </w:r>
        <w:r w:rsidR="009D3949">
          <w:rPr>
            <w:noProof/>
            <w:webHidden/>
          </w:rPr>
          <w:fldChar w:fldCharType="begin"/>
        </w:r>
        <w:r w:rsidR="009D3949">
          <w:rPr>
            <w:noProof/>
            <w:webHidden/>
          </w:rPr>
          <w:instrText xml:space="preserve"> PAGEREF _Toc119173949 \h </w:instrText>
        </w:r>
        <w:r w:rsidR="009D3949">
          <w:rPr>
            <w:noProof/>
            <w:webHidden/>
          </w:rPr>
        </w:r>
        <w:r w:rsidR="009D3949">
          <w:rPr>
            <w:noProof/>
            <w:webHidden/>
          </w:rPr>
          <w:fldChar w:fldCharType="separate"/>
        </w:r>
        <w:r w:rsidR="009D3949">
          <w:rPr>
            <w:noProof/>
            <w:webHidden/>
          </w:rPr>
          <w:t>8</w:t>
        </w:r>
        <w:r w:rsidR="009D3949">
          <w:rPr>
            <w:noProof/>
            <w:webHidden/>
          </w:rPr>
          <w:fldChar w:fldCharType="end"/>
        </w:r>
      </w:hyperlink>
    </w:p>
    <w:p w14:paraId="25EE077D" w14:textId="03D009EE" w:rsidR="009D3949" w:rsidRDefault="0082178B">
      <w:pPr>
        <w:pStyle w:val="TM2"/>
        <w:rPr>
          <w:rFonts w:eastAsiaTheme="minorEastAsia"/>
          <w:noProof/>
          <w:sz w:val="22"/>
          <w:lang w:eastAsia="fr-FR"/>
        </w:rPr>
      </w:pPr>
      <w:hyperlink w:anchor="_Toc119173950" w:history="1">
        <w:r w:rsidR="009D3949" w:rsidRPr="005122A8">
          <w:rPr>
            <w:rStyle w:val="Lienhypertexte"/>
            <w:noProof/>
          </w:rPr>
          <w:t>3.4. CLAUSE D’INSERTION PAR L’ACTIVITE ECONOMIQUE (CIAE)</w:t>
        </w:r>
        <w:r w:rsidR="009D3949">
          <w:rPr>
            <w:noProof/>
            <w:webHidden/>
          </w:rPr>
          <w:tab/>
        </w:r>
        <w:r w:rsidR="009D3949">
          <w:rPr>
            <w:noProof/>
            <w:webHidden/>
          </w:rPr>
          <w:fldChar w:fldCharType="begin"/>
        </w:r>
        <w:r w:rsidR="009D3949">
          <w:rPr>
            <w:noProof/>
            <w:webHidden/>
          </w:rPr>
          <w:instrText xml:space="preserve"> PAGEREF _Toc119173950 \h </w:instrText>
        </w:r>
        <w:r w:rsidR="009D3949">
          <w:rPr>
            <w:noProof/>
            <w:webHidden/>
          </w:rPr>
        </w:r>
        <w:r w:rsidR="009D3949">
          <w:rPr>
            <w:noProof/>
            <w:webHidden/>
          </w:rPr>
          <w:fldChar w:fldCharType="separate"/>
        </w:r>
        <w:r w:rsidR="009D3949">
          <w:rPr>
            <w:noProof/>
            <w:webHidden/>
          </w:rPr>
          <w:t>8</w:t>
        </w:r>
        <w:r w:rsidR="009D3949">
          <w:rPr>
            <w:noProof/>
            <w:webHidden/>
          </w:rPr>
          <w:fldChar w:fldCharType="end"/>
        </w:r>
      </w:hyperlink>
    </w:p>
    <w:p w14:paraId="37A2001B" w14:textId="254CE9A5" w:rsidR="009D3949" w:rsidRDefault="0082178B">
      <w:pPr>
        <w:pStyle w:val="TM2"/>
        <w:rPr>
          <w:rFonts w:eastAsiaTheme="minorEastAsia"/>
          <w:noProof/>
          <w:sz w:val="22"/>
          <w:lang w:eastAsia="fr-FR"/>
        </w:rPr>
      </w:pPr>
      <w:hyperlink w:anchor="_Toc119173951" w:history="1">
        <w:r w:rsidR="009D3949" w:rsidRPr="005122A8">
          <w:rPr>
            <w:rStyle w:val="Lienhypertexte"/>
            <w:noProof/>
          </w:rPr>
          <w:t>3.5. Complément a apporter aux cahiers des clauses particulieres (CCAP ET CCTP)</w:t>
        </w:r>
        <w:r w:rsidR="009D3949">
          <w:rPr>
            <w:noProof/>
            <w:webHidden/>
          </w:rPr>
          <w:tab/>
        </w:r>
        <w:r w:rsidR="009D3949">
          <w:rPr>
            <w:noProof/>
            <w:webHidden/>
          </w:rPr>
          <w:fldChar w:fldCharType="begin"/>
        </w:r>
        <w:r w:rsidR="009D3949">
          <w:rPr>
            <w:noProof/>
            <w:webHidden/>
          </w:rPr>
          <w:instrText xml:space="preserve"> PAGEREF _Toc119173951 \h </w:instrText>
        </w:r>
        <w:r w:rsidR="009D3949">
          <w:rPr>
            <w:noProof/>
            <w:webHidden/>
          </w:rPr>
        </w:r>
        <w:r w:rsidR="009D3949">
          <w:rPr>
            <w:noProof/>
            <w:webHidden/>
          </w:rPr>
          <w:fldChar w:fldCharType="separate"/>
        </w:r>
        <w:r w:rsidR="009D3949">
          <w:rPr>
            <w:noProof/>
            <w:webHidden/>
          </w:rPr>
          <w:t>9</w:t>
        </w:r>
        <w:r w:rsidR="009D3949">
          <w:rPr>
            <w:noProof/>
            <w:webHidden/>
          </w:rPr>
          <w:fldChar w:fldCharType="end"/>
        </w:r>
      </w:hyperlink>
    </w:p>
    <w:p w14:paraId="5CEAE067" w14:textId="216C085A" w:rsidR="009D3949" w:rsidRDefault="0082178B">
      <w:pPr>
        <w:pStyle w:val="TM2"/>
        <w:rPr>
          <w:rFonts w:eastAsiaTheme="minorEastAsia"/>
          <w:noProof/>
          <w:sz w:val="22"/>
          <w:lang w:eastAsia="fr-FR"/>
        </w:rPr>
      </w:pPr>
      <w:hyperlink w:anchor="_Toc119173952" w:history="1">
        <w:r w:rsidR="009D3949" w:rsidRPr="005122A8">
          <w:rPr>
            <w:rStyle w:val="Lienhypertexte"/>
            <w:noProof/>
          </w:rPr>
          <w:t>3.6. Mode de règlement</w:t>
        </w:r>
        <w:r w:rsidR="009D3949">
          <w:rPr>
            <w:noProof/>
            <w:webHidden/>
          </w:rPr>
          <w:tab/>
        </w:r>
        <w:r w:rsidR="009D3949">
          <w:rPr>
            <w:noProof/>
            <w:webHidden/>
          </w:rPr>
          <w:fldChar w:fldCharType="begin"/>
        </w:r>
        <w:r w:rsidR="009D3949">
          <w:rPr>
            <w:noProof/>
            <w:webHidden/>
          </w:rPr>
          <w:instrText xml:space="preserve"> PAGEREF _Toc119173952 \h </w:instrText>
        </w:r>
        <w:r w:rsidR="009D3949">
          <w:rPr>
            <w:noProof/>
            <w:webHidden/>
          </w:rPr>
        </w:r>
        <w:r w:rsidR="009D3949">
          <w:rPr>
            <w:noProof/>
            <w:webHidden/>
          </w:rPr>
          <w:fldChar w:fldCharType="separate"/>
        </w:r>
        <w:r w:rsidR="009D3949">
          <w:rPr>
            <w:noProof/>
            <w:webHidden/>
          </w:rPr>
          <w:t>9</w:t>
        </w:r>
        <w:r w:rsidR="009D3949">
          <w:rPr>
            <w:noProof/>
            <w:webHidden/>
          </w:rPr>
          <w:fldChar w:fldCharType="end"/>
        </w:r>
      </w:hyperlink>
    </w:p>
    <w:p w14:paraId="39AFAC08" w14:textId="526D48B7" w:rsidR="009D3949" w:rsidRDefault="0082178B">
      <w:pPr>
        <w:pStyle w:val="TM2"/>
        <w:rPr>
          <w:rFonts w:eastAsiaTheme="minorEastAsia"/>
          <w:noProof/>
          <w:sz w:val="22"/>
          <w:lang w:eastAsia="fr-FR"/>
        </w:rPr>
      </w:pPr>
      <w:hyperlink w:anchor="_Toc119173953" w:history="1">
        <w:r w:rsidR="009D3949" w:rsidRPr="005122A8">
          <w:rPr>
            <w:rStyle w:val="Lienhypertexte"/>
            <w:noProof/>
          </w:rPr>
          <w:t>3.7. Délai de validité des offres</w:t>
        </w:r>
        <w:r w:rsidR="009D3949">
          <w:rPr>
            <w:noProof/>
            <w:webHidden/>
          </w:rPr>
          <w:tab/>
        </w:r>
        <w:r w:rsidR="009D3949">
          <w:rPr>
            <w:noProof/>
            <w:webHidden/>
          </w:rPr>
          <w:fldChar w:fldCharType="begin"/>
        </w:r>
        <w:r w:rsidR="009D3949">
          <w:rPr>
            <w:noProof/>
            <w:webHidden/>
          </w:rPr>
          <w:instrText xml:space="preserve"> PAGEREF _Toc119173953 \h </w:instrText>
        </w:r>
        <w:r w:rsidR="009D3949">
          <w:rPr>
            <w:noProof/>
            <w:webHidden/>
          </w:rPr>
        </w:r>
        <w:r w:rsidR="009D3949">
          <w:rPr>
            <w:noProof/>
            <w:webHidden/>
          </w:rPr>
          <w:fldChar w:fldCharType="separate"/>
        </w:r>
        <w:r w:rsidR="009D3949">
          <w:rPr>
            <w:noProof/>
            <w:webHidden/>
          </w:rPr>
          <w:t>9</w:t>
        </w:r>
        <w:r w:rsidR="009D3949">
          <w:rPr>
            <w:noProof/>
            <w:webHidden/>
          </w:rPr>
          <w:fldChar w:fldCharType="end"/>
        </w:r>
      </w:hyperlink>
    </w:p>
    <w:p w14:paraId="236775DE" w14:textId="705B7597" w:rsidR="009D3949" w:rsidRDefault="0082178B">
      <w:pPr>
        <w:pStyle w:val="TM2"/>
        <w:rPr>
          <w:rFonts w:eastAsiaTheme="minorEastAsia"/>
          <w:noProof/>
          <w:sz w:val="22"/>
          <w:lang w:eastAsia="fr-FR"/>
        </w:rPr>
      </w:pPr>
      <w:hyperlink w:anchor="_Toc119173954" w:history="1">
        <w:r w:rsidR="009D3949" w:rsidRPr="005122A8">
          <w:rPr>
            <w:rStyle w:val="Lienhypertexte"/>
            <w:noProof/>
          </w:rPr>
          <w:t>3.8. Langue utilisée dans l’offre</w:t>
        </w:r>
        <w:r w:rsidR="009D3949">
          <w:rPr>
            <w:noProof/>
            <w:webHidden/>
          </w:rPr>
          <w:tab/>
        </w:r>
        <w:r w:rsidR="009D3949">
          <w:rPr>
            <w:noProof/>
            <w:webHidden/>
          </w:rPr>
          <w:fldChar w:fldCharType="begin"/>
        </w:r>
        <w:r w:rsidR="009D3949">
          <w:rPr>
            <w:noProof/>
            <w:webHidden/>
          </w:rPr>
          <w:instrText xml:space="preserve"> PAGEREF _Toc119173954 \h </w:instrText>
        </w:r>
        <w:r w:rsidR="009D3949">
          <w:rPr>
            <w:noProof/>
            <w:webHidden/>
          </w:rPr>
        </w:r>
        <w:r w:rsidR="009D3949">
          <w:rPr>
            <w:noProof/>
            <w:webHidden/>
          </w:rPr>
          <w:fldChar w:fldCharType="separate"/>
        </w:r>
        <w:r w:rsidR="009D3949">
          <w:rPr>
            <w:noProof/>
            <w:webHidden/>
          </w:rPr>
          <w:t>9</w:t>
        </w:r>
        <w:r w:rsidR="009D3949">
          <w:rPr>
            <w:noProof/>
            <w:webHidden/>
          </w:rPr>
          <w:fldChar w:fldCharType="end"/>
        </w:r>
      </w:hyperlink>
    </w:p>
    <w:p w14:paraId="532179A6" w14:textId="013628D5" w:rsidR="009D3949" w:rsidRDefault="0082178B">
      <w:pPr>
        <w:pStyle w:val="TM2"/>
        <w:rPr>
          <w:rFonts w:eastAsiaTheme="minorEastAsia"/>
          <w:noProof/>
          <w:sz w:val="22"/>
          <w:lang w:eastAsia="fr-FR"/>
        </w:rPr>
      </w:pPr>
      <w:hyperlink w:anchor="_Toc119173955" w:history="1">
        <w:r w:rsidR="009D3949" w:rsidRPr="005122A8">
          <w:rPr>
            <w:rStyle w:val="Lienhypertexte"/>
            <w:noProof/>
          </w:rPr>
          <w:t>3.9. Unité monétaire du marché public</w:t>
        </w:r>
        <w:r w:rsidR="009D3949">
          <w:rPr>
            <w:noProof/>
            <w:webHidden/>
          </w:rPr>
          <w:tab/>
        </w:r>
        <w:r w:rsidR="009D3949">
          <w:rPr>
            <w:noProof/>
            <w:webHidden/>
          </w:rPr>
          <w:fldChar w:fldCharType="begin"/>
        </w:r>
        <w:r w:rsidR="009D3949">
          <w:rPr>
            <w:noProof/>
            <w:webHidden/>
          </w:rPr>
          <w:instrText xml:space="preserve"> PAGEREF _Toc119173955 \h </w:instrText>
        </w:r>
        <w:r w:rsidR="009D3949">
          <w:rPr>
            <w:noProof/>
            <w:webHidden/>
          </w:rPr>
        </w:r>
        <w:r w:rsidR="009D3949">
          <w:rPr>
            <w:noProof/>
            <w:webHidden/>
          </w:rPr>
          <w:fldChar w:fldCharType="separate"/>
        </w:r>
        <w:r w:rsidR="009D3949">
          <w:rPr>
            <w:noProof/>
            <w:webHidden/>
          </w:rPr>
          <w:t>10</w:t>
        </w:r>
        <w:r w:rsidR="009D3949">
          <w:rPr>
            <w:noProof/>
            <w:webHidden/>
          </w:rPr>
          <w:fldChar w:fldCharType="end"/>
        </w:r>
      </w:hyperlink>
    </w:p>
    <w:p w14:paraId="4644B164" w14:textId="68F99C37" w:rsidR="009D3949" w:rsidRDefault="0082178B">
      <w:pPr>
        <w:pStyle w:val="TM2"/>
        <w:rPr>
          <w:rFonts w:eastAsiaTheme="minorEastAsia"/>
          <w:noProof/>
          <w:sz w:val="22"/>
          <w:lang w:eastAsia="fr-FR"/>
        </w:rPr>
      </w:pPr>
      <w:hyperlink w:anchor="_Toc119173956" w:history="1">
        <w:r w:rsidR="009D3949" w:rsidRPr="005122A8">
          <w:rPr>
            <w:rStyle w:val="Lienhypertexte"/>
            <w:noProof/>
          </w:rPr>
          <w:t>3.10. Visite</w:t>
        </w:r>
        <w:r w:rsidR="009D3949">
          <w:rPr>
            <w:noProof/>
            <w:webHidden/>
          </w:rPr>
          <w:tab/>
        </w:r>
        <w:r w:rsidR="009D3949">
          <w:rPr>
            <w:noProof/>
            <w:webHidden/>
          </w:rPr>
          <w:fldChar w:fldCharType="begin"/>
        </w:r>
        <w:r w:rsidR="009D3949">
          <w:rPr>
            <w:noProof/>
            <w:webHidden/>
          </w:rPr>
          <w:instrText xml:space="preserve"> PAGEREF _Toc119173956 \h </w:instrText>
        </w:r>
        <w:r w:rsidR="009D3949">
          <w:rPr>
            <w:noProof/>
            <w:webHidden/>
          </w:rPr>
        </w:r>
        <w:r w:rsidR="009D3949">
          <w:rPr>
            <w:noProof/>
            <w:webHidden/>
          </w:rPr>
          <w:fldChar w:fldCharType="separate"/>
        </w:r>
        <w:r w:rsidR="009D3949">
          <w:rPr>
            <w:noProof/>
            <w:webHidden/>
          </w:rPr>
          <w:t>10</w:t>
        </w:r>
        <w:r w:rsidR="009D3949">
          <w:rPr>
            <w:noProof/>
            <w:webHidden/>
          </w:rPr>
          <w:fldChar w:fldCharType="end"/>
        </w:r>
      </w:hyperlink>
    </w:p>
    <w:p w14:paraId="54562C3C" w14:textId="6AEBD008" w:rsidR="009D3949" w:rsidRDefault="0082178B">
      <w:pPr>
        <w:pStyle w:val="TM2"/>
        <w:rPr>
          <w:rFonts w:eastAsiaTheme="minorEastAsia"/>
          <w:noProof/>
          <w:sz w:val="22"/>
          <w:lang w:eastAsia="fr-FR"/>
        </w:rPr>
      </w:pPr>
      <w:hyperlink w:anchor="_Toc119173957" w:history="1">
        <w:r w:rsidR="009D3949" w:rsidRPr="005122A8">
          <w:rPr>
            <w:rStyle w:val="Lienhypertexte"/>
            <w:noProof/>
          </w:rPr>
          <w:t>3.11. Confidentialité des documents</w:t>
        </w:r>
        <w:r w:rsidR="009D3949">
          <w:rPr>
            <w:noProof/>
            <w:webHidden/>
          </w:rPr>
          <w:tab/>
        </w:r>
        <w:r w:rsidR="009D3949">
          <w:rPr>
            <w:noProof/>
            <w:webHidden/>
          </w:rPr>
          <w:fldChar w:fldCharType="begin"/>
        </w:r>
        <w:r w:rsidR="009D3949">
          <w:rPr>
            <w:noProof/>
            <w:webHidden/>
          </w:rPr>
          <w:instrText xml:space="preserve"> PAGEREF _Toc119173957 \h </w:instrText>
        </w:r>
        <w:r w:rsidR="009D3949">
          <w:rPr>
            <w:noProof/>
            <w:webHidden/>
          </w:rPr>
        </w:r>
        <w:r w:rsidR="009D3949">
          <w:rPr>
            <w:noProof/>
            <w:webHidden/>
          </w:rPr>
          <w:fldChar w:fldCharType="separate"/>
        </w:r>
        <w:r w:rsidR="009D3949">
          <w:rPr>
            <w:noProof/>
            <w:webHidden/>
          </w:rPr>
          <w:t>10</w:t>
        </w:r>
        <w:r w:rsidR="009D3949">
          <w:rPr>
            <w:noProof/>
            <w:webHidden/>
          </w:rPr>
          <w:fldChar w:fldCharType="end"/>
        </w:r>
      </w:hyperlink>
    </w:p>
    <w:p w14:paraId="08EBCAA6" w14:textId="7AA90ED0" w:rsidR="009D3949" w:rsidRDefault="0082178B">
      <w:pPr>
        <w:pStyle w:val="TM1"/>
        <w:rPr>
          <w:rFonts w:eastAsiaTheme="minorEastAsia"/>
          <w:b w:val="0"/>
          <w:noProof/>
          <w:color w:val="auto"/>
          <w:sz w:val="22"/>
          <w:lang w:eastAsia="fr-FR"/>
        </w:rPr>
      </w:pPr>
      <w:hyperlink w:anchor="_Toc119173958" w:history="1">
        <w:r w:rsidR="009D3949" w:rsidRPr="005122A8">
          <w:rPr>
            <w:rStyle w:val="Lienhypertexte"/>
            <w:noProof/>
          </w:rPr>
          <w:t>4. Dossier de consultation des entreprises (DCE)</w:t>
        </w:r>
        <w:r w:rsidR="009D3949">
          <w:rPr>
            <w:noProof/>
            <w:webHidden/>
          </w:rPr>
          <w:tab/>
        </w:r>
        <w:r w:rsidR="009D3949">
          <w:rPr>
            <w:noProof/>
            <w:webHidden/>
          </w:rPr>
          <w:fldChar w:fldCharType="begin"/>
        </w:r>
        <w:r w:rsidR="009D3949">
          <w:rPr>
            <w:noProof/>
            <w:webHidden/>
          </w:rPr>
          <w:instrText xml:space="preserve"> PAGEREF _Toc119173958 \h </w:instrText>
        </w:r>
        <w:r w:rsidR="009D3949">
          <w:rPr>
            <w:noProof/>
            <w:webHidden/>
          </w:rPr>
        </w:r>
        <w:r w:rsidR="009D3949">
          <w:rPr>
            <w:noProof/>
            <w:webHidden/>
          </w:rPr>
          <w:fldChar w:fldCharType="separate"/>
        </w:r>
        <w:r w:rsidR="009D3949">
          <w:rPr>
            <w:noProof/>
            <w:webHidden/>
          </w:rPr>
          <w:t>10</w:t>
        </w:r>
        <w:r w:rsidR="009D3949">
          <w:rPr>
            <w:noProof/>
            <w:webHidden/>
          </w:rPr>
          <w:fldChar w:fldCharType="end"/>
        </w:r>
      </w:hyperlink>
    </w:p>
    <w:p w14:paraId="58C9F568" w14:textId="78F828FC" w:rsidR="009D3949" w:rsidRDefault="0082178B">
      <w:pPr>
        <w:pStyle w:val="TM2"/>
        <w:rPr>
          <w:rFonts w:eastAsiaTheme="minorEastAsia"/>
          <w:noProof/>
          <w:sz w:val="22"/>
          <w:lang w:eastAsia="fr-FR"/>
        </w:rPr>
      </w:pPr>
      <w:hyperlink w:anchor="_Toc119173959" w:history="1">
        <w:r w:rsidR="009D3949" w:rsidRPr="005122A8">
          <w:rPr>
            <w:rStyle w:val="Lienhypertexte"/>
            <w:noProof/>
          </w:rPr>
          <w:t>4.1. Contenu du dossier de consultation des entreprises (DCE)</w:t>
        </w:r>
        <w:r w:rsidR="009D3949">
          <w:rPr>
            <w:noProof/>
            <w:webHidden/>
          </w:rPr>
          <w:tab/>
        </w:r>
        <w:r w:rsidR="009D3949">
          <w:rPr>
            <w:noProof/>
            <w:webHidden/>
          </w:rPr>
          <w:fldChar w:fldCharType="begin"/>
        </w:r>
        <w:r w:rsidR="009D3949">
          <w:rPr>
            <w:noProof/>
            <w:webHidden/>
          </w:rPr>
          <w:instrText xml:space="preserve"> PAGEREF _Toc119173959 \h </w:instrText>
        </w:r>
        <w:r w:rsidR="009D3949">
          <w:rPr>
            <w:noProof/>
            <w:webHidden/>
          </w:rPr>
        </w:r>
        <w:r w:rsidR="009D3949">
          <w:rPr>
            <w:noProof/>
            <w:webHidden/>
          </w:rPr>
          <w:fldChar w:fldCharType="separate"/>
        </w:r>
        <w:r w:rsidR="009D3949">
          <w:rPr>
            <w:noProof/>
            <w:webHidden/>
          </w:rPr>
          <w:t>10</w:t>
        </w:r>
        <w:r w:rsidR="009D3949">
          <w:rPr>
            <w:noProof/>
            <w:webHidden/>
          </w:rPr>
          <w:fldChar w:fldCharType="end"/>
        </w:r>
      </w:hyperlink>
    </w:p>
    <w:p w14:paraId="56D86BF9" w14:textId="019DB5AB" w:rsidR="009D3949" w:rsidRDefault="0082178B">
      <w:pPr>
        <w:pStyle w:val="TM2"/>
        <w:rPr>
          <w:rFonts w:eastAsiaTheme="minorEastAsia"/>
          <w:noProof/>
          <w:sz w:val="22"/>
          <w:lang w:eastAsia="fr-FR"/>
        </w:rPr>
      </w:pPr>
      <w:hyperlink w:anchor="_Toc119173960" w:history="1">
        <w:r w:rsidR="009D3949" w:rsidRPr="005122A8">
          <w:rPr>
            <w:rStyle w:val="Lienhypertexte"/>
            <w:noProof/>
          </w:rPr>
          <w:t>4.2. Modification de détail au dossier de consultation</w:t>
        </w:r>
        <w:r w:rsidR="009D3949">
          <w:rPr>
            <w:noProof/>
            <w:webHidden/>
          </w:rPr>
          <w:tab/>
        </w:r>
        <w:r w:rsidR="009D3949">
          <w:rPr>
            <w:noProof/>
            <w:webHidden/>
          </w:rPr>
          <w:fldChar w:fldCharType="begin"/>
        </w:r>
        <w:r w:rsidR="009D3949">
          <w:rPr>
            <w:noProof/>
            <w:webHidden/>
          </w:rPr>
          <w:instrText xml:space="preserve"> PAGEREF _Toc119173960 \h </w:instrText>
        </w:r>
        <w:r w:rsidR="009D3949">
          <w:rPr>
            <w:noProof/>
            <w:webHidden/>
          </w:rPr>
        </w:r>
        <w:r w:rsidR="009D3949">
          <w:rPr>
            <w:noProof/>
            <w:webHidden/>
          </w:rPr>
          <w:fldChar w:fldCharType="separate"/>
        </w:r>
        <w:r w:rsidR="009D3949">
          <w:rPr>
            <w:noProof/>
            <w:webHidden/>
          </w:rPr>
          <w:t>11</w:t>
        </w:r>
        <w:r w:rsidR="009D3949">
          <w:rPr>
            <w:noProof/>
            <w:webHidden/>
          </w:rPr>
          <w:fldChar w:fldCharType="end"/>
        </w:r>
      </w:hyperlink>
    </w:p>
    <w:p w14:paraId="47B31D74" w14:textId="6A5BDD92" w:rsidR="009D3949" w:rsidRDefault="0082178B">
      <w:pPr>
        <w:pStyle w:val="TM1"/>
        <w:rPr>
          <w:rFonts w:eastAsiaTheme="minorEastAsia"/>
          <w:b w:val="0"/>
          <w:noProof/>
          <w:color w:val="auto"/>
          <w:sz w:val="22"/>
          <w:lang w:eastAsia="fr-FR"/>
        </w:rPr>
      </w:pPr>
      <w:hyperlink w:anchor="_Toc119173961" w:history="1">
        <w:r w:rsidR="009D3949" w:rsidRPr="005122A8">
          <w:rPr>
            <w:rStyle w:val="Lienhypertexte"/>
            <w:noProof/>
          </w:rPr>
          <w:t>5. Modalités de transmission des plis et autres documents</w:t>
        </w:r>
        <w:r w:rsidR="009D3949">
          <w:rPr>
            <w:noProof/>
            <w:webHidden/>
          </w:rPr>
          <w:tab/>
        </w:r>
        <w:r w:rsidR="009D3949">
          <w:rPr>
            <w:noProof/>
            <w:webHidden/>
          </w:rPr>
          <w:fldChar w:fldCharType="begin"/>
        </w:r>
        <w:r w:rsidR="009D3949">
          <w:rPr>
            <w:noProof/>
            <w:webHidden/>
          </w:rPr>
          <w:instrText xml:space="preserve"> PAGEREF _Toc119173961 \h </w:instrText>
        </w:r>
        <w:r w:rsidR="009D3949">
          <w:rPr>
            <w:noProof/>
            <w:webHidden/>
          </w:rPr>
        </w:r>
        <w:r w:rsidR="009D3949">
          <w:rPr>
            <w:noProof/>
            <w:webHidden/>
          </w:rPr>
          <w:fldChar w:fldCharType="separate"/>
        </w:r>
        <w:r w:rsidR="009D3949">
          <w:rPr>
            <w:noProof/>
            <w:webHidden/>
          </w:rPr>
          <w:t>11</w:t>
        </w:r>
        <w:r w:rsidR="009D3949">
          <w:rPr>
            <w:noProof/>
            <w:webHidden/>
          </w:rPr>
          <w:fldChar w:fldCharType="end"/>
        </w:r>
      </w:hyperlink>
    </w:p>
    <w:p w14:paraId="3D7DB77E" w14:textId="18144270" w:rsidR="009D3949" w:rsidRDefault="0082178B">
      <w:pPr>
        <w:pStyle w:val="TM1"/>
        <w:rPr>
          <w:rFonts w:eastAsiaTheme="minorEastAsia"/>
          <w:b w:val="0"/>
          <w:noProof/>
          <w:color w:val="auto"/>
          <w:sz w:val="22"/>
          <w:lang w:eastAsia="fr-FR"/>
        </w:rPr>
      </w:pPr>
      <w:hyperlink w:anchor="_Toc119173962" w:history="1">
        <w:r w:rsidR="009D3949" w:rsidRPr="005122A8">
          <w:rPr>
            <w:rStyle w:val="Lienhypertexte"/>
            <w:noProof/>
          </w:rPr>
          <w:t>6. contenu de l’enveloppe unique</w:t>
        </w:r>
        <w:r w:rsidR="009D3949">
          <w:rPr>
            <w:noProof/>
            <w:webHidden/>
          </w:rPr>
          <w:tab/>
        </w:r>
        <w:r w:rsidR="009D3949">
          <w:rPr>
            <w:noProof/>
            <w:webHidden/>
          </w:rPr>
          <w:fldChar w:fldCharType="begin"/>
        </w:r>
        <w:r w:rsidR="009D3949">
          <w:rPr>
            <w:noProof/>
            <w:webHidden/>
          </w:rPr>
          <w:instrText xml:space="preserve"> PAGEREF _Toc119173962 \h </w:instrText>
        </w:r>
        <w:r w:rsidR="009D3949">
          <w:rPr>
            <w:noProof/>
            <w:webHidden/>
          </w:rPr>
        </w:r>
        <w:r w:rsidR="009D3949">
          <w:rPr>
            <w:noProof/>
            <w:webHidden/>
          </w:rPr>
          <w:fldChar w:fldCharType="separate"/>
        </w:r>
        <w:r w:rsidR="009D3949">
          <w:rPr>
            <w:noProof/>
            <w:webHidden/>
          </w:rPr>
          <w:t>11</w:t>
        </w:r>
        <w:r w:rsidR="009D3949">
          <w:rPr>
            <w:noProof/>
            <w:webHidden/>
          </w:rPr>
          <w:fldChar w:fldCharType="end"/>
        </w:r>
      </w:hyperlink>
    </w:p>
    <w:p w14:paraId="1AF53A23" w14:textId="37BAC272" w:rsidR="009D3949" w:rsidRDefault="0082178B">
      <w:pPr>
        <w:pStyle w:val="TM2"/>
        <w:rPr>
          <w:rFonts w:eastAsiaTheme="minorEastAsia"/>
          <w:noProof/>
          <w:sz w:val="22"/>
          <w:lang w:eastAsia="fr-FR"/>
        </w:rPr>
      </w:pPr>
      <w:hyperlink w:anchor="_Toc119173963" w:history="1">
        <w:r w:rsidR="009D3949" w:rsidRPr="005122A8">
          <w:rPr>
            <w:rStyle w:val="Lienhypertexte"/>
            <w:noProof/>
          </w:rPr>
          <w:t>6.1. Partie relative à la candidature</w:t>
        </w:r>
        <w:r w:rsidR="009D3949">
          <w:rPr>
            <w:noProof/>
            <w:webHidden/>
          </w:rPr>
          <w:tab/>
        </w:r>
        <w:r w:rsidR="009D3949">
          <w:rPr>
            <w:noProof/>
            <w:webHidden/>
          </w:rPr>
          <w:fldChar w:fldCharType="begin"/>
        </w:r>
        <w:r w:rsidR="009D3949">
          <w:rPr>
            <w:noProof/>
            <w:webHidden/>
          </w:rPr>
          <w:instrText xml:space="preserve"> PAGEREF _Toc119173963 \h </w:instrText>
        </w:r>
        <w:r w:rsidR="009D3949">
          <w:rPr>
            <w:noProof/>
            <w:webHidden/>
          </w:rPr>
        </w:r>
        <w:r w:rsidR="009D3949">
          <w:rPr>
            <w:noProof/>
            <w:webHidden/>
          </w:rPr>
          <w:fldChar w:fldCharType="separate"/>
        </w:r>
        <w:r w:rsidR="009D3949">
          <w:rPr>
            <w:noProof/>
            <w:webHidden/>
          </w:rPr>
          <w:t>12</w:t>
        </w:r>
        <w:r w:rsidR="009D3949">
          <w:rPr>
            <w:noProof/>
            <w:webHidden/>
          </w:rPr>
          <w:fldChar w:fldCharType="end"/>
        </w:r>
      </w:hyperlink>
    </w:p>
    <w:p w14:paraId="4CC410A1" w14:textId="2F25AB92" w:rsidR="009D3949" w:rsidRDefault="0082178B">
      <w:pPr>
        <w:pStyle w:val="TM2"/>
        <w:rPr>
          <w:rFonts w:eastAsiaTheme="minorEastAsia"/>
          <w:noProof/>
          <w:sz w:val="22"/>
          <w:lang w:eastAsia="fr-FR"/>
        </w:rPr>
      </w:pPr>
      <w:hyperlink w:anchor="_Toc119173964" w:history="1">
        <w:r w:rsidR="009D3949" w:rsidRPr="005122A8">
          <w:rPr>
            <w:rStyle w:val="Lienhypertexte"/>
            <w:noProof/>
          </w:rPr>
          <w:t>6.2. Partie relative à l’offre</w:t>
        </w:r>
        <w:r w:rsidR="009D3949">
          <w:rPr>
            <w:noProof/>
            <w:webHidden/>
          </w:rPr>
          <w:tab/>
        </w:r>
        <w:r w:rsidR="009D3949">
          <w:rPr>
            <w:noProof/>
            <w:webHidden/>
          </w:rPr>
          <w:fldChar w:fldCharType="begin"/>
        </w:r>
        <w:r w:rsidR="009D3949">
          <w:rPr>
            <w:noProof/>
            <w:webHidden/>
          </w:rPr>
          <w:instrText xml:space="preserve"> PAGEREF _Toc119173964 \h </w:instrText>
        </w:r>
        <w:r w:rsidR="009D3949">
          <w:rPr>
            <w:noProof/>
            <w:webHidden/>
          </w:rPr>
        </w:r>
        <w:r w:rsidR="009D3949">
          <w:rPr>
            <w:noProof/>
            <w:webHidden/>
          </w:rPr>
          <w:fldChar w:fldCharType="separate"/>
        </w:r>
        <w:r w:rsidR="009D3949">
          <w:rPr>
            <w:noProof/>
            <w:webHidden/>
          </w:rPr>
          <w:t>14</w:t>
        </w:r>
        <w:r w:rsidR="009D3949">
          <w:rPr>
            <w:noProof/>
            <w:webHidden/>
          </w:rPr>
          <w:fldChar w:fldCharType="end"/>
        </w:r>
      </w:hyperlink>
    </w:p>
    <w:p w14:paraId="18BEC802" w14:textId="5412FE31" w:rsidR="009D3949" w:rsidRDefault="0082178B">
      <w:pPr>
        <w:pStyle w:val="TM1"/>
        <w:rPr>
          <w:rFonts w:eastAsiaTheme="minorEastAsia"/>
          <w:b w:val="0"/>
          <w:noProof/>
          <w:color w:val="auto"/>
          <w:sz w:val="22"/>
          <w:lang w:eastAsia="fr-FR"/>
        </w:rPr>
      </w:pPr>
      <w:hyperlink w:anchor="_Toc119173965" w:history="1">
        <w:r w:rsidR="009D3949" w:rsidRPr="005122A8">
          <w:rPr>
            <w:rStyle w:val="Lienhypertexte"/>
            <w:noProof/>
          </w:rPr>
          <w:t>7. Evaluation des candidatures, jugement et classement des offres</w:t>
        </w:r>
        <w:r w:rsidR="009D3949">
          <w:rPr>
            <w:noProof/>
            <w:webHidden/>
          </w:rPr>
          <w:tab/>
        </w:r>
        <w:r w:rsidR="009D3949">
          <w:rPr>
            <w:noProof/>
            <w:webHidden/>
          </w:rPr>
          <w:fldChar w:fldCharType="begin"/>
        </w:r>
        <w:r w:rsidR="009D3949">
          <w:rPr>
            <w:noProof/>
            <w:webHidden/>
          </w:rPr>
          <w:instrText xml:space="preserve"> PAGEREF _Toc119173965 \h </w:instrText>
        </w:r>
        <w:r w:rsidR="009D3949">
          <w:rPr>
            <w:noProof/>
            <w:webHidden/>
          </w:rPr>
        </w:r>
        <w:r w:rsidR="009D3949">
          <w:rPr>
            <w:noProof/>
            <w:webHidden/>
          </w:rPr>
          <w:fldChar w:fldCharType="separate"/>
        </w:r>
        <w:r w:rsidR="009D3949">
          <w:rPr>
            <w:noProof/>
            <w:webHidden/>
          </w:rPr>
          <w:t>15</w:t>
        </w:r>
        <w:r w:rsidR="009D3949">
          <w:rPr>
            <w:noProof/>
            <w:webHidden/>
          </w:rPr>
          <w:fldChar w:fldCharType="end"/>
        </w:r>
      </w:hyperlink>
    </w:p>
    <w:p w14:paraId="6A0BAE32" w14:textId="7CDE6EB5" w:rsidR="009D3949" w:rsidRDefault="0082178B">
      <w:pPr>
        <w:pStyle w:val="TM2"/>
        <w:rPr>
          <w:rFonts w:eastAsiaTheme="minorEastAsia"/>
          <w:noProof/>
          <w:sz w:val="22"/>
          <w:lang w:eastAsia="fr-FR"/>
        </w:rPr>
      </w:pPr>
      <w:hyperlink w:anchor="_Toc119173966" w:history="1">
        <w:r w:rsidR="009D3949" w:rsidRPr="005122A8">
          <w:rPr>
            <w:rStyle w:val="Lienhypertexte"/>
            <w:noProof/>
          </w:rPr>
          <w:t>7.1. evaluation des candidatures/niveaux minima de capacite</w:t>
        </w:r>
        <w:r w:rsidR="009D3949">
          <w:rPr>
            <w:noProof/>
            <w:webHidden/>
          </w:rPr>
          <w:tab/>
        </w:r>
        <w:r w:rsidR="009D3949">
          <w:rPr>
            <w:noProof/>
            <w:webHidden/>
          </w:rPr>
          <w:fldChar w:fldCharType="begin"/>
        </w:r>
        <w:r w:rsidR="009D3949">
          <w:rPr>
            <w:noProof/>
            <w:webHidden/>
          </w:rPr>
          <w:instrText xml:space="preserve"> PAGEREF _Toc119173966 \h </w:instrText>
        </w:r>
        <w:r w:rsidR="009D3949">
          <w:rPr>
            <w:noProof/>
            <w:webHidden/>
          </w:rPr>
        </w:r>
        <w:r w:rsidR="009D3949">
          <w:rPr>
            <w:noProof/>
            <w:webHidden/>
          </w:rPr>
          <w:fldChar w:fldCharType="separate"/>
        </w:r>
        <w:r w:rsidR="009D3949">
          <w:rPr>
            <w:noProof/>
            <w:webHidden/>
          </w:rPr>
          <w:t>15</w:t>
        </w:r>
        <w:r w:rsidR="009D3949">
          <w:rPr>
            <w:noProof/>
            <w:webHidden/>
          </w:rPr>
          <w:fldChar w:fldCharType="end"/>
        </w:r>
      </w:hyperlink>
    </w:p>
    <w:p w14:paraId="5D269A37" w14:textId="0976F203" w:rsidR="009D3949" w:rsidRDefault="0082178B">
      <w:pPr>
        <w:pStyle w:val="TM3"/>
        <w:tabs>
          <w:tab w:val="right" w:leader="dot" w:pos="9344"/>
        </w:tabs>
        <w:rPr>
          <w:rFonts w:eastAsiaTheme="minorEastAsia"/>
          <w:noProof/>
          <w:color w:val="auto"/>
          <w:sz w:val="22"/>
          <w:lang w:eastAsia="fr-FR"/>
        </w:rPr>
      </w:pPr>
      <w:hyperlink w:anchor="_Toc119173967" w:history="1">
        <w:r w:rsidR="009D3949" w:rsidRPr="005122A8">
          <w:rPr>
            <w:rStyle w:val="Lienhypertexte"/>
            <w:noProof/>
          </w:rPr>
          <w:t>7.1.1. Capacités techniques</w:t>
        </w:r>
        <w:r w:rsidR="009D3949">
          <w:rPr>
            <w:noProof/>
            <w:webHidden/>
          </w:rPr>
          <w:tab/>
        </w:r>
        <w:r w:rsidR="009D3949">
          <w:rPr>
            <w:noProof/>
            <w:webHidden/>
          </w:rPr>
          <w:fldChar w:fldCharType="begin"/>
        </w:r>
        <w:r w:rsidR="009D3949">
          <w:rPr>
            <w:noProof/>
            <w:webHidden/>
          </w:rPr>
          <w:instrText xml:space="preserve"> PAGEREF _Toc119173967 \h </w:instrText>
        </w:r>
        <w:r w:rsidR="009D3949">
          <w:rPr>
            <w:noProof/>
            <w:webHidden/>
          </w:rPr>
        </w:r>
        <w:r w:rsidR="009D3949">
          <w:rPr>
            <w:noProof/>
            <w:webHidden/>
          </w:rPr>
          <w:fldChar w:fldCharType="separate"/>
        </w:r>
        <w:r w:rsidR="009D3949">
          <w:rPr>
            <w:noProof/>
            <w:webHidden/>
          </w:rPr>
          <w:t>15</w:t>
        </w:r>
        <w:r w:rsidR="009D3949">
          <w:rPr>
            <w:noProof/>
            <w:webHidden/>
          </w:rPr>
          <w:fldChar w:fldCharType="end"/>
        </w:r>
      </w:hyperlink>
    </w:p>
    <w:p w14:paraId="2CF718F5" w14:textId="756F70E0" w:rsidR="009D3949" w:rsidRDefault="0082178B">
      <w:pPr>
        <w:pStyle w:val="TM3"/>
        <w:tabs>
          <w:tab w:val="right" w:leader="dot" w:pos="9344"/>
        </w:tabs>
        <w:rPr>
          <w:rFonts w:eastAsiaTheme="minorEastAsia"/>
          <w:noProof/>
          <w:color w:val="auto"/>
          <w:sz w:val="22"/>
          <w:lang w:eastAsia="fr-FR"/>
        </w:rPr>
      </w:pPr>
      <w:hyperlink w:anchor="_Toc119173968" w:history="1">
        <w:r w:rsidR="009D3949" w:rsidRPr="005122A8">
          <w:rPr>
            <w:rStyle w:val="Lienhypertexte"/>
            <w:noProof/>
          </w:rPr>
          <w:t>7.1.2. Capacités économiques et financières</w:t>
        </w:r>
        <w:r w:rsidR="009D3949">
          <w:rPr>
            <w:noProof/>
            <w:webHidden/>
          </w:rPr>
          <w:tab/>
        </w:r>
        <w:r w:rsidR="009D3949">
          <w:rPr>
            <w:noProof/>
            <w:webHidden/>
          </w:rPr>
          <w:fldChar w:fldCharType="begin"/>
        </w:r>
        <w:r w:rsidR="009D3949">
          <w:rPr>
            <w:noProof/>
            <w:webHidden/>
          </w:rPr>
          <w:instrText xml:space="preserve"> PAGEREF _Toc119173968 \h </w:instrText>
        </w:r>
        <w:r w:rsidR="009D3949">
          <w:rPr>
            <w:noProof/>
            <w:webHidden/>
          </w:rPr>
        </w:r>
        <w:r w:rsidR="009D3949">
          <w:rPr>
            <w:noProof/>
            <w:webHidden/>
          </w:rPr>
          <w:fldChar w:fldCharType="separate"/>
        </w:r>
        <w:r w:rsidR="009D3949">
          <w:rPr>
            <w:noProof/>
            <w:webHidden/>
          </w:rPr>
          <w:t>15</w:t>
        </w:r>
        <w:r w:rsidR="009D3949">
          <w:rPr>
            <w:noProof/>
            <w:webHidden/>
          </w:rPr>
          <w:fldChar w:fldCharType="end"/>
        </w:r>
      </w:hyperlink>
    </w:p>
    <w:p w14:paraId="1E8534D7" w14:textId="1B46DDAB" w:rsidR="009D3949" w:rsidRDefault="0082178B">
      <w:pPr>
        <w:pStyle w:val="TM3"/>
        <w:tabs>
          <w:tab w:val="right" w:leader="dot" w:pos="9344"/>
        </w:tabs>
        <w:rPr>
          <w:rFonts w:eastAsiaTheme="minorEastAsia"/>
          <w:noProof/>
          <w:color w:val="auto"/>
          <w:sz w:val="22"/>
          <w:lang w:eastAsia="fr-FR"/>
        </w:rPr>
      </w:pPr>
      <w:hyperlink w:anchor="_Toc119173969" w:history="1">
        <w:r w:rsidR="009D3949" w:rsidRPr="005122A8">
          <w:rPr>
            <w:rStyle w:val="Lienhypertexte"/>
            <w:noProof/>
          </w:rPr>
          <w:t>7.1.3. Capacités professionnelles</w:t>
        </w:r>
        <w:r w:rsidR="009D3949">
          <w:rPr>
            <w:noProof/>
            <w:webHidden/>
          </w:rPr>
          <w:tab/>
        </w:r>
        <w:r w:rsidR="009D3949">
          <w:rPr>
            <w:noProof/>
            <w:webHidden/>
          </w:rPr>
          <w:fldChar w:fldCharType="begin"/>
        </w:r>
        <w:r w:rsidR="009D3949">
          <w:rPr>
            <w:noProof/>
            <w:webHidden/>
          </w:rPr>
          <w:instrText xml:space="preserve"> PAGEREF _Toc119173969 \h </w:instrText>
        </w:r>
        <w:r w:rsidR="009D3949">
          <w:rPr>
            <w:noProof/>
            <w:webHidden/>
          </w:rPr>
        </w:r>
        <w:r w:rsidR="009D3949">
          <w:rPr>
            <w:noProof/>
            <w:webHidden/>
          </w:rPr>
          <w:fldChar w:fldCharType="separate"/>
        </w:r>
        <w:r w:rsidR="009D3949">
          <w:rPr>
            <w:noProof/>
            <w:webHidden/>
          </w:rPr>
          <w:t>15</w:t>
        </w:r>
        <w:r w:rsidR="009D3949">
          <w:rPr>
            <w:noProof/>
            <w:webHidden/>
          </w:rPr>
          <w:fldChar w:fldCharType="end"/>
        </w:r>
      </w:hyperlink>
    </w:p>
    <w:p w14:paraId="7748DAAB" w14:textId="3F99F8E7" w:rsidR="009D3949" w:rsidRDefault="0082178B">
      <w:pPr>
        <w:pStyle w:val="TM2"/>
        <w:rPr>
          <w:rFonts w:eastAsiaTheme="minorEastAsia"/>
          <w:noProof/>
          <w:sz w:val="22"/>
          <w:lang w:eastAsia="fr-FR"/>
        </w:rPr>
      </w:pPr>
      <w:hyperlink w:anchor="_Toc119173970" w:history="1">
        <w:r w:rsidR="009D3949" w:rsidRPr="005122A8">
          <w:rPr>
            <w:rStyle w:val="Lienhypertexte"/>
            <w:noProof/>
          </w:rPr>
          <w:t>7.2. Recevabilité des offres</w:t>
        </w:r>
        <w:r w:rsidR="009D3949">
          <w:rPr>
            <w:noProof/>
            <w:webHidden/>
          </w:rPr>
          <w:tab/>
        </w:r>
        <w:r w:rsidR="009D3949">
          <w:rPr>
            <w:noProof/>
            <w:webHidden/>
          </w:rPr>
          <w:fldChar w:fldCharType="begin"/>
        </w:r>
        <w:r w:rsidR="009D3949">
          <w:rPr>
            <w:noProof/>
            <w:webHidden/>
          </w:rPr>
          <w:instrText xml:space="preserve"> PAGEREF _Toc119173970 \h </w:instrText>
        </w:r>
        <w:r w:rsidR="009D3949">
          <w:rPr>
            <w:noProof/>
            <w:webHidden/>
          </w:rPr>
        </w:r>
        <w:r w:rsidR="009D3949">
          <w:rPr>
            <w:noProof/>
            <w:webHidden/>
          </w:rPr>
          <w:fldChar w:fldCharType="separate"/>
        </w:r>
        <w:r w:rsidR="009D3949">
          <w:rPr>
            <w:noProof/>
            <w:webHidden/>
          </w:rPr>
          <w:t>16</w:t>
        </w:r>
        <w:r w:rsidR="009D3949">
          <w:rPr>
            <w:noProof/>
            <w:webHidden/>
          </w:rPr>
          <w:fldChar w:fldCharType="end"/>
        </w:r>
      </w:hyperlink>
    </w:p>
    <w:p w14:paraId="40F9C5A9" w14:textId="6929DDBC" w:rsidR="009D3949" w:rsidRDefault="0082178B">
      <w:pPr>
        <w:pStyle w:val="TM2"/>
        <w:rPr>
          <w:rFonts w:eastAsiaTheme="minorEastAsia"/>
          <w:noProof/>
          <w:sz w:val="22"/>
          <w:lang w:eastAsia="fr-FR"/>
        </w:rPr>
      </w:pPr>
      <w:hyperlink w:anchor="_Toc119173971" w:history="1">
        <w:r w:rsidR="009D3949" w:rsidRPr="005122A8">
          <w:rPr>
            <w:rStyle w:val="Lienhypertexte"/>
            <w:noProof/>
          </w:rPr>
          <w:t>7.3. Jugement des offres</w:t>
        </w:r>
        <w:r w:rsidR="009D3949">
          <w:rPr>
            <w:noProof/>
            <w:webHidden/>
          </w:rPr>
          <w:tab/>
        </w:r>
        <w:r w:rsidR="009D3949">
          <w:rPr>
            <w:noProof/>
            <w:webHidden/>
          </w:rPr>
          <w:fldChar w:fldCharType="begin"/>
        </w:r>
        <w:r w:rsidR="009D3949">
          <w:rPr>
            <w:noProof/>
            <w:webHidden/>
          </w:rPr>
          <w:instrText xml:space="preserve"> PAGEREF _Toc119173971 \h </w:instrText>
        </w:r>
        <w:r w:rsidR="009D3949">
          <w:rPr>
            <w:noProof/>
            <w:webHidden/>
          </w:rPr>
        </w:r>
        <w:r w:rsidR="009D3949">
          <w:rPr>
            <w:noProof/>
            <w:webHidden/>
          </w:rPr>
          <w:fldChar w:fldCharType="separate"/>
        </w:r>
        <w:r w:rsidR="009D3949">
          <w:rPr>
            <w:noProof/>
            <w:webHidden/>
          </w:rPr>
          <w:t>17</w:t>
        </w:r>
        <w:r w:rsidR="009D3949">
          <w:rPr>
            <w:noProof/>
            <w:webHidden/>
          </w:rPr>
          <w:fldChar w:fldCharType="end"/>
        </w:r>
      </w:hyperlink>
    </w:p>
    <w:p w14:paraId="4920C1D4" w14:textId="39B0AA11" w:rsidR="009D3949" w:rsidRDefault="0082178B">
      <w:pPr>
        <w:pStyle w:val="TM2"/>
        <w:rPr>
          <w:rFonts w:eastAsiaTheme="minorEastAsia"/>
          <w:noProof/>
          <w:sz w:val="22"/>
          <w:lang w:eastAsia="fr-FR"/>
        </w:rPr>
      </w:pPr>
      <w:hyperlink w:anchor="_Toc119173972" w:history="1">
        <w:r w:rsidR="009D3949" w:rsidRPr="005122A8">
          <w:rPr>
            <w:rStyle w:val="Lienhypertexte"/>
            <w:noProof/>
          </w:rPr>
          <w:t>7.4. Erreur sur les prix</w:t>
        </w:r>
        <w:r w:rsidR="009D3949">
          <w:rPr>
            <w:noProof/>
            <w:webHidden/>
          </w:rPr>
          <w:tab/>
        </w:r>
        <w:r w:rsidR="009D3949">
          <w:rPr>
            <w:noProof/>
            <w:webHidden/>
          </w:rPr>
          <w:fldChar w:fldCharType="begin"/>
        </w:r>
        <w:r w:rsidR="009D3949">
          <w:rPr>
            <w:noProof/>
            <w:webHidden/>
          </w:rPr>
          <w:instrText xml:space="preserve"> PAGEREF _Toc119173972 \h </w:instrText>
        </w:r>
        <w:r w:rsidR="009D3949">
          <w:rPr>
            <w:noProof/>
            <w:webHidden/>
          </w:rPr>
        </w:r>
        <w:r w:rsidR="009D3949">
          <w:rPr>
            <w:noProof/>
            <w:webHidden/>
          </w:rPr>
          <w:fldChar w:fldCharType="separate"/>
        </w:r>
        <w:r w:rsidR="009D3949">
          <w:rPr>
            <w:noProof/>
            <w:webHidden/>
          </w:rPr>
          <w:t>18</w:t>
        </w:r>
        <w:r w:rsidR="009D3949">
          <w:rPr>
            <w:noProof/>
            <w:webHidden/>
          </w:rPr>
          <w:fldChar w:fldCharType="end"/>
        </w:r>
      </w:hyperlink>
    </w:p>
    <w:p w14:paraId="08B8CF44" w14:textId="585AF370" w:rsidR="009D3949" w:rsidRDefault="0082178B">
      <w:pPr>
        <w:pStyle w:val="TM2"/>
        <w:rPr>
          <w:rFonts w:eastAsiaTheme="minorEastAsia"/>
          <w:noProof/>
          <w:sz w:val="22"/>
          <w:lang w:eastAsia="fr-FR"/>
        </w:rPr>
      </w:pPr>
      <w:hyperlink w:anchor="_Toc119173973" w:history="1">
        <w:r w:rsidR="009D3949" w:rsidRPr="005122A8">
          <w:rPr>
            <w:rStyle w:val="Lienhypertexte"/>
            <w:noProof/>
          </w:rPr>
          <w:t>7.5. Déclaration sans suite</w:t>
        </w:r>
        <w:r w:rsidR="009D3949">
          <w:rPr>
            <w:noProof/>
            <w:webHidden/>
          </w:rPr>
          <w:tab/>
        </w:r>
        <w:r w:rsidR="009D3949">
          <w:rPr>
            <w:noProof/>
            <w:webHidden/>
          </w:rPr>
          <w:fldChar w:fldCharType="begin"/>
        </w:r>
        <w:r w:rsidR="009D3949">
          <w:rPr>
            <w:noProof/>
            <w:webHidden/>
          </w:rPr>
          <w:instrText xml:space="preserve"> PAGEREF _Toc119173973 \h </w:instrText>
        </w:r>
        <w:r w:rsidR="009D3949">
          <w:rPr>
            <w:noProof/>
            <w:webHidden/>
          </w:rPr>
        </w:r>
        <w:r w:rsidR="009D3949">
          <w:rPr>
            <w:noProof/>
            <w:webHidden/>
          </w:rPr>
          <w:fldChar w:fldCharType="separate"/>
        </w:r>
        <w:r w:rsidR="009D3949">
          <w:rPr>
            <w:noProof/>
            <w:webHidden/>
          </w:rPr>
          <w:t>18</w:t>
        </w:r>
        <w:r w:rsidR="009D3949">
          <w:rPr>
            <w:noProof/>
            <w:webHidden/>
          </w:rPr>
          <w:fldChar w:fldCharType="end"/>
        </w:r>
      </w:hyperlink>
    </w:p>
    <w:p w14:paraId="34F410BC" w14:textId="1132C31A" w:rsidR="009D3949" w:rsidRDefault="0082178B">
      <w:pPr>
        <w:pStyle w:val="TM1"/>
        <w:rPr>
          <w:rFonts w:eastAsiaTheme="minorEastAsia"/>
          <w:b w:val="0"/>
          <w:noProof/>
          <w:color w:val="auto"/>
          <w:sz w:val="22"/>
          <w:lang w:eastAsia="fr-FR"/>
        </w:rPr>
      </w:pPr>
      <w:hyperlink w:anchor="_Toc119173974" w:history="1">
        <w:r w:rsidR="009D3949" w:rsidRPr="005122A8">
          <w:rPr>
            <w:rStyle w:val="Lienhypertexte"/>
            <w:noProof/>
          </w:rPr>
          <w:t xml:space="preserve">8. </w:t>
        </w:r>
        <w:r w:rsidR="009D3949">
          <w:rPr>
            <w:rStyle w:val="Lienhypertexte"/>
            <w:noProof/>
          </w:rPr>
          <w:t>A</w:t>
        </w:r>
        <w:r w:rsidR="009D3949" w:rsidRPr="005122A8">
          <w:rPr>
            <w:rStyle w:val="Lienhypertexte"/>
            <w:noProof/>
          </w:rPr>
          <w:t>udition</w:t>
        </w:r>
        <w:r w:rsidR="009D3949">
          <w:rPr>
            <w:noProof/>
            <w:webHidden/>
          </w:rPr>
          <w:tab/>
        </w:r>
        <w:r w:rsidR="009D3949">
          <w:rPr>
            <w:noProof/>
            <w:webHidden/>
          </w:rPr>
          <w:fldChar w:fldCharType="begin"/>
        </w:r>
        <w:r w:rsidR="009D3949">
          <w:rPr>
            <w:noProof/>
            <w:webHidden/>
          </w:rPr>
          <w:instrText xml:space="preserve"> PAGEREF _Toc119173974 \h </w:instrText>
        </w:r>
        <w:r w:rsidR="009D3949">
          <w:rPr>
            <w:noProof/>
            <w:webHidden/>
          </w:rPr>
        </w:r>
        <w:r w:rsidR="009D3949">
          <w:rPr>
            <w:noProof/>
            <w:webHidden/>
          </w:rPr>
          <w:fldChar w:fldCharType="separate"/>
        </w:r>
        <w:r w:rsidR="009D3949">
          <w:rPr>
            <w:noProof/>
            <w:webHidden/>
          </w:rPr>
          <w:t>18</w:t>
        </w:r>
        <w:r w:rsidR="009D3949">
          <w:rPr>
            <w:noProof/>
            <w:webHidden/>
          </w:rPr>
          <w:fldChar w:fldCharType="end"/>
        </w:r>
      </w:hyperlink>
    </w:p>
    <w:p w14:paraId="1232DC82" w14:textId="769BFF12" w:rsidR="009D3949" w:rsidRDefault="0082178B">
      <w:pPr>
        <w:pStyle w:val="TM1"/>
        <w:rPr>
          <w:rFonts w:eastAsiaTheme="minorEastAsia"/>
          <w:b w:val="0"/>
          <w:noProof/>
          <w:color w:val="auto"/>
          <w:sz w:val="22"/>
          <w:lang w:eastAsia="fr-FR"/>
        </w:rPr>
      </w:pPr>
      <w:hyperlink w:anchor="_Toc119173975" w:history="1">
        <w:r w:rsidR="009D3949" w:rsidRPr="005122A8">
          <w:rPr>
            <w:rStyle w:val="Lienhypertexte"/>
            <w:noProof/>
          </w:rPr>
          <w:t>9. Renseignements complementaires</w:t>
        </w:r>
        <w:r w:rsidR="009D3949">
          <w:rPr>
            <w:noProof/>
            <w:webHidden/>
          </w:rPr>
          <w:tab/>
        </w:r>
        <w:r w:rsidR="009D3949">
          <w:rPr>
            <w:noProof/>
            <w:webHidden/>
          </w:rPr>
          <w:fldChar w:fldCharType="begin"/>
        </w:r>
        <w:r w:rsidR="009D3949">
          <w:rPr>
            <w:noProof/>
            <w:webHidden/>
          </w:rPr>
          <w:instrText xml:space="preserve"> PAGEREF _Toc119173975 \h </w:instrText>
        </w:r>
        <w:r w:rsidR="009D3949">
          <w:rPr>
            <w:noProof/>
            <w:webHidden/>
          </w:rPr>
        </w:r>
        <w:r w:rsidR="009D3949">
          <w:rPr>
            <w:noProof/>
            <w:webHidden/>
          </w:rPr>
          <w:fldChar w:fldCharType="separate"/>
        </w:r>
        <w:r w:rsidR="009D3949">
          <w:rPr>
            <w:noProof/>
            <w:webHidden/>
          </w:rPr>
          <w:t>19</w:t>
        </w:r>
        <w:r w:rsidR="009D3949">
          <w:rPr>
            <w:noProof/>
            <w:webHidden/>
          </w:rPr>
          <w:fldChar w:fldCharType="end"/>
        </w:r>
      </w:hyperlink>
    </w:p>
    <w:p w14:paraId="44422365" w14:textId="0C5BDDF3" w:rsidR="009D3949" w:rsidRDefault="0082178B">
      <w:pPr>
        <w:pStyle w:val="TM1"/>
        <w:rPr>
          <w:rFonts w:eastAsiaTheme="minorEastAsia"/>
          <w:b w:val="0"/>
          <w:noProof/>
          <w:color w:val="auto"/>
          <w:sz w:val="22"/>
          <w:lang w:eastAsia="fr-FR"/>
        </w:rPr>
      </w:pPr>
      <w:hyperlink w:anchor="_Toc119173976" w:history="1">
        <w:r w:rsidR="009D3949" w:rsidRPr="005122A8">
          <w:rPr>
            <w:rStyle w:val="Lienhypertexte"/>
            <w:noProof/>
          </w:rPr>
          <w:t>10. Production des pièces par le soumissionnaire auquel il est envisage d’attribuer le marche public</w:t>
        </w:r>
        <w:r w:rsidR="009D3949">
          <w:rPr>
            <w:noProof/>
            <w:webHidden/>
          </w:rPr>
          <w:tab/>
        </w:r>
        <w:r w:rsidR="009D3949">
          <w:rPr>
            <w:noProof/>
            <w:webHidden/>
          </w:rPr>
          <w:fldChar w:fldCharType="begin"/>
        </w:r>
        <w:r w:rsidR="009D3949">
          <w:rPr>
            <w:noProof/>
            <w:webHidden/>
          </w:rPr>
          <w:instrText xml:space="preserve"> PAGEREF _Toc119173976 \h </w:instrText>
        </w:r>
        <w:r w:rsidR="009D3949">
          <w:rPr>
            <w:noProof/>
            <w:webHidden/>
          </w:rPr>
        </w:r>
        <w:r w:rsidR="009D3949">
          <w:rPr>
            <w:noProof/>
            <w:webHidden/>
          </w:rPr>
          <w:fldChar w:fldCharType="separate"/>
        </w:r>
        <w:r w:rsidR="009D3949">
          <w:rPr>
            <w:noProof/>
            <w:webHidden/>
          </w:rPr>
          <w:t>19</w:t>
        </w:r>
        <w:r w:rsidR="009D3949">
          <w:rPr>
            <w:noProof/>
            <w:webHidden/>
          </w:rPr>
          <w:fldChar w:fldCharType="end"/>
        </w:r>
      </w:hyperlink>
    </w:p>
    <w:p w14:paraId="3854AE10" w14:textId="2763E4BD" w:rsidR="009D3949" w:rsidRDefault="0082178B">
      <w:pPr>
        <w:pStyle w:val="TM1"/>
        <w:rPr>
          <w:rFonts w:eastAsiaTheme="minorEastAsia"/>
          <w:b w:val="0"/>
          <w:noProof/>
          <w:color w:val="auto"/>
          <w:sz w:val="22"/>
          <w:lang w:eastAsia="fr-FR"/>
        </w:rPr>
      </w:pPr>
      <w:hyperlink w:anchor="_Toc119173977" w:history="1">
        <w:r w:rsidR="009D3949" w:rsidRPr="005122A8">
          <w:rPr>
            <w:rStyle w:val="Lienhypertexte"/>
            <w:noProof/>
          </w:rPr>
          <w:t>11. Voies et Délais de recours</w:t>
        </w:r>
        <w:r w:rsidR="009D3949">
          <w:rPr>
            <w:noProof/>
            <w:webHidden/>
          </w:rPr>
          <w:tab/>
        </w:r>
        <w:r w:rsidR="009D3949">
          <w:rPr>
            <w:noProof/>
            <w:webHidden/>
          </w:rPr>
          <w:fldChar w:fldCharType="begin"/>
        </w:r>
        <w:r w:rsidR="009D3949">
          <w:rPr>
            <w:noProof/>
            <w:webHidden/>
          </w:rPr>
          <w:instrText xml:space="preserve"> PAGEREF _Toc119173977 \h </w:instrText>
        </w:r>
        <w:r w:rsidR="009D3949">
          <w:rPr>
            <w:noProof/>
            <w:webHidden/>
          </w:rPr>
        </w:r>
        <w:r w:rsidR="009D3949">
          <w:rPr>
            <w:noProof/>
            <w:webHidden/>
          </w:rPr>
          <w:fldChar w:fldCharType="separate"/>
        </w:r>
        <w:r w:rsidR="009D3949">
          <w:rPr>
            <w:noProof/>
            <w:webHidden/>
          </w:rPr>
          <w:t>20</w:t>
        </w:r>
        <w:r w:rsidR="009D3949">
          <w:rPr>
            <w:noProof/>
            <w:webHidden/>
          </w:rPr>
          <w:fldChar w:fldCharType="end"/>
        </w:r>
      </w:hyperlink>
    </w:p>
    <w:p w14:paraId="23A66385" w14:textId="0A24EDEB" w:rsidR="009D3949" w:rsidRDefault="0082178B">
      <w:pPr>
        <w:pStyle w:val="TM1"/>
        <w:rPr>
          <w:rFonts w:eastAsiaTheme="minorEastAsia"/>
          <w:b w:val="0"/>
          <w:noProof/>
          <w:color w:val="auto"/>
          <w:sz w:val="22"/>
          <w:lang w:eastAsia="fr-FR"/>
        </w:rPr>
      </w:pPr>
      <w:hyperlink w:anchor="_Toc119173978" w:history="1">
        <w:r w:rsidR="009D3949" w:rsidRPr="005122A8">
          <w:rPr>
            <w:rStyle w:val="Lienhypertexte"/>
            <w:noProof/>
          </w:rPr>
          <w:t xml:space="preserve">ANNEXE 1 : </w:t>
        </w:r>
        <w:r w:rsidR="009D3949" w:rsidRPr="005122A8">
          <w:rPr>
            <w:rStyle w:val="Lienhypertexte"/>
            <w:rFonts w:ascii="Arial" w:eastAsia="MS Gothic" w:hAnsi="Arial" w:cs="Times New Roman"/>
            <w:bCs/>
            <w:noProof/>
            <w:lang w:val="x-none" w:eastAsia="x-none"/>
          </w:rPr>
          <w:t>M</w:t>
        </w:r>
        <w:r w:rsidR="009D3949" w:rsidRPr="005122A8">
          <w:rPr>
            <w:rStyle w:val="Lienhypertexte"/>
            <w:noProof/>
          </w:rPr>
          <w:t>odalités pratiques de transmission des PLIS au format electronique</w:t>
        </w:r>
        <w:r w:rsidR="009D3949">
          <w:rPr>
            <w:noProof/>
            <w:webHidden/>
          </w:rPr>
          <w:tab/>
        </w:r>
        <w:r w:rsidR="009D3949">
          <w:rPr>
            <w:noProof/>
            <w:webHidden/>
          </w:rPr>
          <w:fldChar w:fldCharType="begin"/>
        </w:r>
        <w:r w:rsidR="009D3949">
          <w:rPr>
            <w:noProof/>
            <w:webHidden/>
          </w:rPr>
          <w:instrText xml:space="preserve"> PAGEREF _Toc119173978 \h </w:instrText>
        </w:r>
        <w:r w:rsidR="009D3949">
          <w:rPr>
            <w:noProof/>
            <w:webHidden/>
          </w:rPr>
        </w:r>
        <w:r w:rsidR="009D3949">
          <w:rPr>
            <w:noProof/>
            <w:webHidden/>
          </w:rPr>
          <w:fldChar w:fldCharType="separate"/>
        </w:r>
        <w:r w:rsidR="009D3949">
          <w:rPr>
            <w:noProof/>
            <w:webHidden/>
          </w:rPr>
          <w:t>21</w:t>
        </w:r>
        <w:r w:rsidR="009D3949">
          <w:rPr>
            <w:noProof/>
            <w:webHidden/>
          </w:rPr>
          <w:fldChar w:fldCharType="end"/>
        </w:r>
      </w:hyperlink>
    </w:p>
    <w:p w14:paraId="4144B8A3" w14:textId="7BA0D20F" w:rsidR="009D3949" w:rsidRDefault="0082178B">
      <w:pPr>
        <w:pStyle w:val="TM1"/>
        <w:rPr>
          <w:rFonts w:eastAsiaTheme="minorEastAsia"/>
          <w:b w:val="0"/>
          <w:noProof/>
          <w:color w:val="auto"/>
          <w:sz w:val="22"/>
          <w:lang w:eastAsia="fr-FR"/>
        </w:rPr>
      </w:pPr>
      <w:hyperlink w:anchor="_Toc119173979" w:history="1">
        <w:r w:rsidR="009D3949" w:rsidRPr="005122A8">
          <w:rPr>
            <w:rStyle w:val="Lienhypertexte"/>
            <w:noProof/>
          </w:rPr>
          <w:t>1. Mode de transmission</w:t>
        </w:r>
        <w:r w:rsidR="009D3949">
          <w:rPr>
            <w:noProof/>
            <w:webHidden/>
          </w:rPr>
          <w:tab/>
        </w:r>
        <w:r w:rsidR="009D3949">
          <w:rPr>
            <w:noProof/>
            <w:webHidden/>
          </w:rPr>
          <w:fldChar w:fldCharType="begin"/>
        </w:r>
        <w:r w:rsidR="009D3949">
          <w:rPr>
            <w:noProof/>
            <w:webHidden/>
          </w:rPr>
          <w:instrText xml:space="preserve"> PAGEREF _Toc119173979 \h </w:instrText>
        </w:r>
        <w:r w:rsidR="009D3949">
          <w:rPr>
            <w:noProof/>
            <w:webHidden/>
          </w:rPr>
        </w:r>
        <w:r w:rsidR="009D3949">
          <w:rPr>
            <w:noProof/>
            <w:webHidden/>
          </w:rPr>
          <w:fldChar w:fldCharType="separate"/>
        </w:r>
        <w:r w:rsidR="009D3949">
          <w:rPr>
            <w:noProof/>
            <w:webHidden/>
          </w:rPr>
          <w:t>21</w:t>
        </w:r>
        <w:r w:rsidR="009D3949">
          <w:rPr>
            <w:noProof/>
            <w:webHidden/>
          </w:rPr>
          <w:fldChar w:fldCharType="end"/>
        </w:r>
      </w:hyperlink>
    </w:p>
    <w:p w14:paraId="046C1E75" w14:textId="1246FBA9" w:rsidR="009D3949" w:rsidRDefault="0082178B">
      <w:pPr>
        <w:pStyle w:val="TM2"/>
        <w:rPr>
          <w:rFonts w:eastAsiaTheme="minorEastAsia"/>
          <w:noProof/>
          <w:sz w:val="22"/>
          <w:lang w:eastAsia="fr-FR"/>
        </w:rPr>
      </w:pPr>
      <w:hyperlink w:anchor="_Toc119173980" w:history="1">
        <w:r w:rsidR="009D3949" w:rsidRPr="005122A8">
          <w:rPr>
            <w:rStyle w:val="Lienhypertexte"/>
            <w:noProof/>
          </w:rPr>
          <w:t>1.1. Généralités</w:t>
        </w:r>
        <w:r w:rsidR="009D3949">
          <w:rPr>
            <w:noProof/>
            <w:webHidden/>
          </w:rPr>
          <w:tab/>
        </w:r>
        <w:r w:rsidR="009D3949">
          <w:rPr>
            <w:noProof/>
            <w:webHidden/>
          </w:rPr>
          <w:fldChar w:fldCharType="begin"/>
        </w:r>
        <w:r w:rsidR="009D3949">
          <w:rPr>
            <w:noProof/>
            <w:webHidden/>
          </w:rPr>
          <w:instrText xml:space="preserve"> PAGEREF _Toc119173980 \h </w:instrText>
        </w:r>
        <w:r w:rsidR="009D3949">
          <w:rPr>
            <w:noProof/>
            <w:webHidden/>
          </w:rPr>
        </w:r>
        <w:r w:rsidR="009D3949">
          <w:rPr>
            <w:noProof/>
            <w:webHidden/>
          </w:rPr>
          <w:fldChar w:fldCharType="separate"/>
        </w:r>
        <w:r w:rsidR="009D3949">
          <w:rPr>
            <w:noProof/>
            <w:webHidden/>
          </w:rPr>
          <w:t>21</w:t>
        </w:r>
        <w:r w:rsidR="009D3949">
          <w:rPr>
            <w:noProof/>
            <w:webHidden/>
          </w:rPr>
          <w:fldChar w:fldCharType="end"/>
        </w:r>
      </w:hyperlink>
    </w:p>
    <w:p w14:paraId="42D92ECB" w14:textId="12E0A4CA" w:rsidR="009D3949" w:rsidRDefault="0082178B">
      <w:pPr>
        <w:pStyle w:val="TM3"/>
        <w:tabs>
          <w:tab w:val="right" w:leader="dot" w:pos="9344"/>
        </w:tabs>
        <w:rPr>
          <w:rFonts w:eastAsiaTheme="minorEastAsia"/>
          <w:noProof/>
          <w:color w:val="auto"/>
          <w:sz w:val="22"/>
          <w:lang w:eastAsia="fr-FR"/>
        </w:rPr>
      </w:pPr>
      <w:hyperlink w:anchor="_Toc119173981" w:history="1">
        <w:r w:rsidR="009D3949" w:rsidRPr="005122A8">
          <w:rPr>
            <w:rStyle w:val="Lienhypertexte"/>
            <w:noProof/>
          </w:rPr>
          <w:t>1.1.1. Date limite de remise des offres :</w:t>
        </w:r>
        <w:r w:rsidR="009D3949">
          <w:rPr>
            <w:noProof/>
            <w:webHidden/>
          </w:rPr>
          <w:tab/>
        </w:r>
        <w:r w:rsidR="009D3949">
          <w:rPr>
            <w:noProof/>
            <w:webHidden/>
          </w:rPr>
          <w:fldChar w:fldCharType="begin"/>
        </w:r>
        <w:r w:rsidR="009D3949">
          <w:rPr>
            <w:noProof/>
            <w:webHidden/>
          </w:rPr>
          <w:instrText xml:space="preserve"> PAGEREF _Toc119173981 \h </w:instrText>
        </w:r>
        <w:r w:rsidR="009D3949">
          <w:rPr>
            <w:noProof/>
            <w:webHidden/>
          </w:rPr>
        </w:r>
        <w:r w:rsidR="009D3949">
          <w:rPr>
            <w:noProof/>
            <w:webHidden/>
          </w:rPr>
          <w:fldChar w:fldCharType="separate"/>
        </w:r>
        <w:r w:rsidR="009D3949">
          <w:rPr>
            <w:noProof/>
            <w:webHidden/>
          </w:rPr>
          <w:t>21</w:t>
        </w:r>
        <w:r w:rsidR="009D3949">
          <w:rPr>
            <w:noProof/>
            <w:webHidden/>
          </w:rPr>
          <w:fldChar w:fldCharType="end"/>
        </w:r>
      </w:hyperlink>
    </w:p>
    <w:p w14:paraId="20E4F5BE" w14:textId="4F5934D5" w:rsidR="009D3949" w:rsidRDefault="0082178B">
      <w:pPr>
        <w:pStyle w:val="TM3"/>
        <w:tabs>
          <w:tab w:val="right" w:leader="dot" w:pos="9344"/>
        </w:tabs>
        <w:rPr>
          <w:rFonts w:eastAsiaTheme="minorEastAsia"/>
          <w:noProof/>
          <w:color w:val="auto"/>
          <w:sz w:val="22"/>
          <w:lang w:eastAsia="fr-FR"/>
        </w:rPr>
      </w:pPr>
      <w:hyperlink w:anchor="_Toc119173982" w:history="1">
        <w:r w:rsidR="009D3949" w:rsidRPr="005122A8">
          <w:rPr>
            <w:rStyle w:val="Lienhypertexte"/>
            <w:noProof/>
          </w:rPr>
          <w:t>1.1.2. Modalités de transmission :</w:t>
        </w:r>
        <w:r w:rsidR="009D3949">
          <w:rPr>
            <w:noProof/>
            <w:webHidden/>
          </w:rPr>
          <w:tab/>
        </w:r>
        <w:r w:rsidR="009D3949">
          <w:rPr>
            <w:noProof/>
            <w:webHidden/>
          </w:rPr>
          <w:fldChar w:fldCharType="begin"/>
        </w:r>
        <w:r w:rsidR="009D3949">
          <w:rPr>
            <w:noProof/>
            <w:webHidden/>
          </w:rPr>
          <w:instrText xml:space="preserve"> PAGEREF _Toc119173982 \h </w:instrText>
        </w:r>
        <w:r w:rsidR="009D3949">
          <w:rPr>
            <w:noProof/>
            <w:webHidden/>
          </w:rPr>
        </w:r>
        <w:r w:rsidR="009D3949">
          <w:rPr>
            <w:noProof/>
            <w:webHidden/>
          </w:rPr>
          <w:fldChar w:fldCharType="separate"/>
        </w:r>
        <w:r w:rsidR="009D3949">
          <w:rPr>
            <w:noProof/>
            <w:webHidden/>
          </w:rPr>
          <w:t>21</w:t>
        </w:r>
        <w:r w:rsidR="009D3949">
          <w:rPr>
            <w:noProof/>
            <w:webHidden/>
          </w:rPr>
          <w:fldChar w:fldCharType="end"/>
        </w:r>
      </w:hyperlink>
    </w:p>
    <w:p w14:paraId="0AB44541" w14:textId="1D024BC1" w:rsidR="009D3949" w:rsidRDefault="0082178B">
      <w:pPr>
        <w:pStyle w:val="TM3"/>
        <w:tabs>
          <w:tab w:val="right" w:leader="dot" w:pos="9344"/>
        </w:tabs>
        <w:rPr>
          <w:rFonts w:eastAsiaTheme="minorEastAsia"/>
          <w:noProof/>
          <w:color w:val="auto"/>
          <w:sz w:val="22"/>
          <w:lang w:eastAsia="fr-FR"/>
        </w:rPr>
      </w:pPr>
      <w:hyperlink w:anchor="_Toc119173983" w:history="1">
        <w:r w:rsidR="009D3949" w:rsidRPr="005122A8">
          <w:rPr>
            <w:rStyle w:val="Lienhypertexte"/>
            <w:noProof/>
          </w:rPr>
          <w:t>1.1.3. Références réglementaires :</w:t>
        </w:r>
        <w:r w:rsidR="009D3949">
          <w:rPr>
            <w:noProof/>
            <w:webHidden/>
          </w:rPr>
          <w:tab/>
        </w:r>
        <w:r w:rsidR="009D3949">
          <w:rPr>
            <w:noProof/>
            <w:webHidden/>
          </w:rPr>
          <w:fldChar w:fldCharType="begin"/>
        </w:r>
        <w:r w:rsidR="009D3949">
          <w:rPr>
            <w:noProof/>
            <w:webHidden/>
          </w:rPr>
          <w:instrText xml:space="preserve"> PAGEREF _Toc119173983 \h </w:instrText>
        </w:r>
        <w:r w:rsidR="009D3949">
          <w:rPr>
            <w:noProof/>
            <w:webHidden/>
          </w:rPr>
        </w:r>
        <w:r w:rsidR="009D3949">
          <w:rPr>
            <w:noProof/>
            <w:webHidden/>
          </w:rPr>
          <w:fldChar w:fldCharType="separate"/>
        </w:r>
        <w:r w:rsidR="009D3949">
          <w:rPr>
            <w:noProof/>
            <w:webHidden/>
          </w:rPr>
          <w:t>21</w:t>
        </w:r>
        <w:r w:rsidR="009D3949">
          <w:rPr>
            <w:noProof/>
            <w:webHidden/>
          </w:rPr>
          <w:fldChar w:fldCharType="end"/>
        </w:r>
      </w:hyperlink>
    </w:p>
    <w:p w14:paraId="40D1902D" w14:textId="6010BDB3" w:rsidR="009D3949" w:rsidRDefault="0082178B">
      <w:pPr>
        <w:pStyle w:val="TM2"/>
        <w:rPr>
          <w:rFonts w:eastAsiaTheme="minorEastAsia"/>
          <w:noProof/>
          <w:sz w:val="22"/>
          <w:lang w:eastAsia="fr-FR"/>
        </w:rPr>
      </w:pPr>
      <w:hyperlink w:anchor="_Toc119173984" w:history="1">
        <w:r w:rsidR="009D3949" w:rsidRPr="005122A8">
          <w:rPr>
            <w:rStyle w:val="Lienhypertexte"/>
            <w:noProof/>
          </w:rPr>
          <w:t>1.2. Exigences relatives aux certificats de signature du signataire</w:t>
        </w:r>
        <w:r w:rsidR="009D3949">
          <w:rPr>
            <w:noProof/>
            <w:webHidden/>
          </w:rPr>
          <w:tab/>
        </w:r>
        <w:r w:rsidR="009D3949">
          <w:rPr>
            <w:noProof/>
            <w:webHidden/>
          </w:rPr>
          <w:fldChar w:fldCharType="begin"/>
        </w:r>
        <w:r w:rsidR="009D3949">
          <w:rPr>
            <w:noProof/>
            <w:webHidden/>
          </w:rPr>
          <w:instrText xml:space="preserve"> PAGEREF _Toc119173984 \h </w:instrText>
        </w:r>
        <w:r w:rsidR="009D3949">
          <w:rPr>
            <w:noProof/>
            <w:webHidden/>
          </w:rPr>
        </w:r>
        <w:r w:rsidR="009D3949">
          <w:rPr>
            <w:noProof/>
            <w:webHidden/>
          </w:rPr>
          <w:fldChar w:fldCharType="separate"/>
        </w:r>
        <w:r w:rsidR="009D3949">
          <w:rPr>
            <w:noProof/>
            <w:webHidden/>
          </w:rPr>
          <w:t>21</w:t>
        </w:r>
        <w:r w:rsidR="009D3949">
          <w:rPr>
            <w:noProof/>
            <w:webHidden/>
          </w:rPr>
          <w:fldChar w:fldCharType="end"/>
        </w:r>
      </w:hyperlink>
    </w:p>
    <w:p w14:paraId="4294E5B7" w14:textId="63F0F177" w:rsidR="009D3949" w:rsidRDefault="0082178B">
      <w:pPr>
        <w:pStyle w:val="TM2"/>
        <w:rPr>
          <w:rFonts w:eastAsiaTheme="minorEastAsia"/>
          <w:noProof/>
          <w:sz w:val="22"/>
          <w:lang w:eastAsia="fr-FR"/>
        </w:rPr>
      </w:pPr>
      <w:hyperlink w:anchor="_Toc119173985" w:history="1">
        <w:r w:rsidR="009D3949" w:rsidRPr="005122A8">
          <w:rPr>
            <w:rStyle w:val="Lienhypertexte"/>
            <w:noProof/>
          </w:rPr>
          <w:t>1.3. Outil de signature utilisé pour signer les fichiers</w:t>
        </w:r>
        <w:r w:rsidR="009D3949">
          <w:rPr>
            <w:noProof/>
            <w:webHidden/>
          </w:rPr>
          <w:tab/>
        </w:r>
        <w:r w:rsidR="009D3949">
          <w:rPr>
            <w:noProof/>
            <w:webHidden/>
          </w:rPr>
          <w:fldChar w:fldCharType="begin"/>
        </w:r>
        <w:r w:rsidR="009D3949">
          <w:rPr>
            <w:noProof/>
            <w:webHidden/>
          </w:rPr>
          <w:instrText xml:space="preserve"> PAGEREF _Toc119173985 \h </w:instrText>
        </w:r>
        <w:r w:rsidR="009D3949">
          <w:rPr>
            <w:noProof/>
            <w:webHidden/>
          </w:rPr>
        </w:r>
        <w:r w:rsidR="009D3949">
          <w:rPr>
            <w:noProof/>
            <w:webHidden/>
          </w:rPr>
          <w:fldChar w:fldCharType="separate"/>
        </w:r>
        <w:r w:rsidR="009D3949">
          <w:rPr>
            <w:noProof/>
            <w:webHidden/>
          </w:rPr>
          <w:t>22</w:t>
        </w:r>
        <w:r w:rsidR="009D3949">
          <w:rPr>
            <w:noProof/>
            <w:webHidden/>
          </w:rPr>
          <w:fldChar w:fldCharType="end"/>
        </w:r>
      </w:hyperlink>
    </w:p>
    <w:p w14:paraId="653D6F60" w14:textId="0DC0AC54" w:rsidR="009D3949" w:rsidRDefault="0082178B">
      <w:pPr>
        <w:pStyle w:val="TM1"/>
        <w:rPr>
          <w:rFonts w:eastAsiaTheme="minorEastAsia"/>
          <w:b w:val="0"/>
          <w:noProof/>
          <w:color w:val="auto"/>
          <w:sz w:val="22"/>
          <w:lang w:eastAsia="fr-FR"/>
        </w:rPr>
      </w:pPr>
      <w:hyperlink w:anchor="_Toc119173986" w:history="1">
        <w:r w:rsidR="009D3949" w:rsidRPr="005122A8">
          <w:rPr>
            <w:rStyle w:val="Lienhypertexte"/>
            <w:noProof/>
          </w:rPr>
          <w:t>2. Formalisme de la candidature et de l’offre</w:t>
        </w:r>
        <w:r w:rsidR="009D3949">
          <w:rPr>
            <w:noProof/>
            <w:webHidden/>
          </w:rPr>
          <w:tab/>
        </w:r>
        <w:r w:rsidR="009D3949">
          <w:rPr>
            <w:noProof/>
            <w:webHidden/>
          </w:rPr>
          <w:fldChar w:fldCharType="begin"/>
        </w:r>
        <w:r w:rsidR="009D3949">
          <w:rPr>
            <w:noProof/>
            <w:webHidden/>
          </w:rPr>
          <w:instrText xml:space="preserve"> PAGEREF _Toc119173986 \h </w:instrText>
        </w:r>
        <w:r w:rsidR="009D3949">
          <w:rPr>
            <w:noProof/>
            <w:webHidden/>
          </w:rPr>
        </w:r>
        <w:r w:rsidR="009D3949">
          <w:rPr>
            <w:noProof/>
            <w:webHidden/>
          </w:rPr>
          <w:fldChar w:fldCharType="separate"/>
        </w:r>
        <w:r w:rsidR="009D3949">
          <w:rPr>
            <w:noProof/>
            <w:webHidden/>
          </w:rPr>
          <w:t>23</w:t>
        </w:r>
        <w:r w:rsidR="009D3949">
          <w:rPr>
            <w:noProof/>
            <w:webHidden/>
          </w:rPr>
          <w:fldChar w:fldCharType="end"/>
        </w:r>
      </w:hyperlink>
    </w:p>
    <w:p w14:paraId="00E6A42C" w14:textId="41B4C01B" w:rsidR="009D3949" w:rsidRDefault="0082178B">
      <w:pPr>
        <w:pStyle w:val="TM2"/>
        <w:rPr>
          <w:rFonts w:eastAsiaTheme="minorEastAsia"/>
          <w:noProof/>
          <w:sz w:val="22"/>
          <w:lang w:eastAsia="fr-FR"/>
        </w:rPr>
      </w:pPr>
      <w:hyperlink w:anchor="_Toc119173987" w:history="1">
        <w:r w:rsidR="009D3949" w:rsidRPr="005122A8">
          <w:rPr>
            <w:rStyle w:val="Lienhypertexte"/>
            <w:noProof/>
          </w:rPr>
          <w:t>2.1. Généralités</w:t>
        </w:r>
        <w:r w:rsidR="009D3949">
          <w:rPr>
            <w:noProof/>
            <w:webHidden/>
          </w:rPr>
          <w:tab/>
        </w:r>
        <w:r w:rsidR="009D3949">
          <w:rPr>
            <w:noProof/>
            <w:webHidden/>
          </w:rPr>
          <w:fldChar w:fldCharType="begin"/>
        </w:r>
        <w:r w:rsidR="009D3949">
          <w:rPr>
            <w:noProof/>
            <w:webHidden/>
          </w:rPr>
          <w:instrText xml:space="preserve"> PAGEREF _Toc119173987 \h </w:instrText>
        </w:r>
        <w:r w:rsidR="009D3949">
          <w:rPr>
            <w:noProof/>
            <w:webHidden/>
          </w:rPr>
        </w:r>
        <w:r w:rsidR="009D3949">
          <w:rPr>
            <w:noProof/>
            <w:webHidden/>
          </w:rPr>
          <w:fldChar w:fldCharType="separate"/>
        </w:r>
        <w:r w:rsidR="009D3949">
          <w:rPr>
            <w:noProof/>
            <w:webHidden/>
          </w:rPr>
          <w:t>23</w:t>
        </w:r>
        <w:r w:rsidR="009D3949">
          <w:rPr>
            <w:noProof/>
            <w:webHidden/>
          </w:rPr>
          <w:fldChar w:fldCharType="end"/>
        </w:r>
      </w:hyperlink>
    </w:p>
    <w:p w14:paraId="2B34EDD9" w14:textId="387A9DD7" w:rsidR="009D3949" w:rsidRDefault="0082178B">
      <w:pPr>
        <w:pStyle w:val="TM2"/>
        <w:rPr>
          <w:rFonts w:eastAsiaTheme="minorEastAsia"/>
          <w:noProof/>
          <w:sz w:val="22"/>
          <w:lang w:eastAsia="fr-FR"/>
        </w:rPr>
      </w:pPr>
      <w:hyperlink w:anchor="_Toc119173988" w:history="1">
        <w:r w:rsidR="009D3949" w:rsidRPr="005122A8">
          <w:rPr>
            <w:rStyle w:val="Lienhypertexte"/>
            <w:noProof/>
          </w:rPr>
          <w:t>2.2. Copie de sauvegarde</w:t>
        </w:r>
        <w:r w:rsidR="009D3949">
          <w:rPr>
            <w:noProof/>
            <w:webHidden/>
          </w:rPr>
          <w:tab/>
        </w:r>
        <w:r w:rsidR="009D3949">
          <w:rPr>
            <w:noProof/>
            <w:webHidden/>
          </w:rPr>
          <w:fldChar w:fldCharType="begin"/>
        </w:r>
        <w:r w:rsidR="009D3949">
          <w:rPr>
            <w:noProof/>
            <w:webHidden/>
          </w:rPr>
          <w:instrText xml:space="preserve"> PAGEREF _Toc119173988 \h </w:instrText>
        </w:r>
        <w:r w:rsidR="009D3949">
          <w:rPr>
            <w:noProof/>
            <w:webHidden/>
          </w:rPr>
        </w:r>
        <w:r w:rsidR="009D3949">
          <w:rPr>
            <w:noProof/>
            <w:webHidden/>
          </w:rPr>
          <w:fldChar w:fldCharType="separate"/>
        </w:r>
        <w:r w:rsidR="009D3949">
          <w:rPr>
            <w:noProof/>
            <w:webHidden/>
          </w:rPr>
          <w:t>23</w:t>
        </w:r>
        <w:r w:rsidR="009D3949">
          <w:rPr>
            <w:noProof/>
            <w:webHidden/>
          </w:rPr>
          <w:fldChar w:fldCharType="end"/>
        </w:r>
      </w:hyperlink>
    </w:p>
    <w:p w14:paraId="28956AB6" w14:textId="5DC6D4F9" w:rsidR="009D3949" w:rsidRDefault="0082178B">
      <w:pPr>
        <w:pStyle w:val="TM1"/>
        <w:rPr>
          <w:rFonts w:eastAsiaTheme="minorEastAsia"/>
          <w:b w:val="0"/>
          <w:noProof/>
          <w:color w:val="auto"/>
          <w:sz w:val="22"/>
          <w:lang w:eastAsia="fr-FR"/>
        </w:rPr>
      </w:pPr>
      <w:hyperlink w:anchor="_Toc119173989" w:history="1">
        <w:r w:rsidR="009D3949" w:rsidRPr="005122A8">
          <w:rPr>
            <w:rStyle w:val="Lienhypertexte"/>
            <w:noProof/>
          </w:rPr>
          <w:t>3. Dépôt sur PLACE et accusé de réception</w:t>
        </w:r>
        <w:r w:rsidR="009D3949">
          <w:rPr>
            <w:noProof/>
            <w:webHidden/>
          </w:rPr>
          <w:tab/>
        </w:r>
        <w:r w:rsidR="009D3949">
          <w:rPr>
            <w:noProof/>
            <w:webHidden/>
          </w:rPr>
          <w:fldChar w:fldCharType="begin"/>
        </w:r>
        <w:r w:rsidR="009D3949">
          <w:rPr>
            <w:noProof/>
            <w:webHidden/>
          </w:rPr>
          <w:instrText xml:space="preserve"> PAGEREF _Toc119173989 \h </w:instrText>
        </w:r>
        <w:r w:rsidR="009D3949">
          <w:rPr>
            <w:noProof/>
            <w:webHidden/>
          </w:rPr>
        </w:r>
        <w:r w:rsidR="009D3949">
          <w:rPr>
            <w:noProof/>
            <w:webHidden/>
          </w:rPr>
          <w:fldChar w:fldCharType="separate"/>
        </w:r>
        <w:r w:rsidR="009D3949">
          <w:rPr>
            <w:noProof/>
            <w:webHidden/>
          </w:rPr>
          <w:t>24</w:t>
        </w:r>
        <w:r w:rsidR="009D3949">
          <w:rPr>
            <w:noProof/>
            <w:webHidden/>
          </w:rPr>
          <w:fldChar w:fldCharType="end"/>
        </w:r>
      </w:hyperlink>
    </w:p>
    <w:p w14:paraId="4485056E" w14:textId="7E4ACD9F" w:rsidR="00C061CF" w:rsidRDefault="002E63EA" w:rsidP="00D833CA">
      <w:pPr>
        <w:spacing w:line="276" w:lineRule="auto"/>
      </w:pPr>
      <w:r>
        <w:fldChar w:fldCharType="end"/>
      </w:r>
    </w:p>
    <w:p w14:paraId="1588964A" w14:textId="77777777" w:rsidR="00C061CF" w:rsidRDefault="00C061CF">
      <w:pPr>
        <w:jc w:val="left"/>
      </w:pPr>
      <w:r>
        <w:br w:type="page"/>
      </w:r>
    </w:p>
    <w:p w14:paraId="57513856" w14:textId="77777777" w:rsidR="00DD1C2E" w:rsidRDefault="00DD1C2E" w:rsidP="00D833CA">
      <w:pPr>
        <w:spacing w:line="276" w:lineRule="auto"/>
      </w:pPr>
    </w:p>
    <w:p w14:paraId="3E2E1EEF" w14:textId="77777777" w:rsidR="00D226E8" w:rsidRPr="004A3EB1" w:rsidRDefault="00755234" w:rsidP="00D226E8">
      <w:pPr>
        <w:pStyle w:val="CSNETITRE1"/>
        <w:rPr>
          <w:szCs w:val="32"/>
        </w:rPr>
      </w:pPr>
      <w:bookmarkStart w:id="0" w:name="_Toc119173933"/>
      <w:r w:rsidRPr="004A3EB1">
        <w:rPr>
          <w:szCs w:val="32"/>
        </w:rPr>
        <w:t>Objet de l</w:t>
      </w:r>
      <w:r w:rsidR="001B3E8F">
        <w:rPr>
          <w:szCs w:val="32"/>
        </w:rPr>
        <w:t>a consultation</w:t>
      </w:r>
      <w:bookmarkEnd w:id="0"/>
    </w:p>
    <w:p w14:paraId="0A6585BA" w14:textId="77777777" w:rsidR="00DD1C2E" w:rsidRDefault="00DD1C2E" w:rsidP="00D833CA">
      <w:pPr>
        <w:spacing w:line="276" w:lineRule="auto"/>
      </w:pPr>
    </w:p>
    <w:p w14:paraId="6771C86C" w14:textId="681015D2" w:rsidR="00FD104A" w:rsidRDefault="00FD104A" w:rsidP="00FD104A">
      <w:pPr>
        <w:spacing w:line="276" w:lineRule="auto"/>
      </w:pPr>
      <w:r w:rsidRPr="00FD104A">
        <w:t>La présente consultation</w:t>
      </w:r>
      <w:r>
        <w:t xml:space="preserve"> a pour objet l’accompagnement de la Société du Canal Seine-Nord Europe (ci-après SCSNE) pour la réalisation du Canal Seine-Nord Europe (ci-après CSNE) en matière de communication :</w:t>
      </w:r>
    </w:p>
    <w:p w14:paraId="1322C695" w14:textId="78FC1722" w:rsidR="00FD104A" w:rsidRPr="00FD104A" w:rsidRDefault="00FD104A" w:rsidP="00FD104A">
      <w:pPr>
        <w:pStyle w:val="Liste"/>
      </w:pPr>
      <w:r w:rsidRPr="00FD104A">
        <w:t xml:space="preserve">stratégique et de projet </w:t>
      </w:r>
    </w:p>
    <w:p w14:paraId="3828F275" w14:textId="400D84FC" w:rsidR="00FD104A" w:rsidRPr="00FD104A" w:rsidRDefault="00FD104A" w:rsidP="00FD104A">
      <w:pPr>
        <w:pStyle w:val="Liste"/>
      </w:pPr>
      <w:r w:rsidRPr="00FD104A">
        <w:t>de proximité, « servicielle », travaux et opérationnelle</w:t>
      </w:r>
    </w:p>
    <w:p w14:paraId="3D92CA6C" w14:textId="77777777" w:rsidR="00FD104A" w:rsidRDefault="00FD104A" w:rsidP="00D833CA">
      <w:pPr>
        <w:spacing w:line="276" w:lineRule="auto"/>
      </w:pPr>
    </w:p>
    <w:p w14:paraId="351FFBF0" w14:textId="3EB0A11D" w:rsidR="00755234" w:rsidRDefault="00FD104A" w:rsidP="00D833CA">
      <w:pPr>
        <w:spacing w:line="276" w:lineRule="auto"/>
      </w:pPr>
      <w:r w:rsidRPr="00FD104A">
        <w:t xml:space="preserve">La description précise des prestations figure aux Cahiers des Clauses Techniques Particulières (CCTP) </w:t>
      </w:r>
      <w:r w:rsidR="00E9677A">
        <w:t>du dossier de consultation des entreprises</w:t>
      </w:r>
      <w:r w:rsidRPr="00FD104A">
        <w:t>.</w:t>
      </w:r>
    </w:p>
    <w:p w14:paraId="238C302D" w14:textId="2CA66F3B" w:rsidR="00FD104A" w:rsidRDefault="00FD104A" w:rsidP="00D833CA">
      <w:pPr>
        <w:spacing w:line="276" w:lineRule="auto"/>
      </w:pPr>
    </w:p>
    <w:p w14:paraId="0805F8F6" w14:textId="77777777" w:rsidR="00FD104A" w:rsidRPr="00B040C7" w:rsidRDefault="00FD104A" w:rsidP="00D833CA">
      <w:pPr>
        <w:spacing w:line="276" w:lineRule="auto"/>
      </w:pPr>
    </w:p>
    <w:p w14:paraId="27110280" w14:textId="77777777" w:rsidR="00A120FD" w:rsidRPr="004A3EB1" w:rsidRDefault="00BE639E" w:rsidP="00A120FD">
      <w:pPr>
        <w:pStyle w:val="CSNETITRE1"/>
        <w:rPr>
          <w:szCs w:val="32"/>
        </w:rPr>
      </w:pPr>
      <w:bookmarkStart w:id="1" w:name="_Toc119173934"/>
      <w:r>
        <w:rPr>
          <w:szCs w:val="32"/>
        </w:rPr>
        <w:t>C</w:t>
      </w:r>
      <w:r w:rsidR="001B3E8F">
        <w:rPr>
          <w:szCs w:val="32"/>
        </w:rPr>
        <w:t>ondition de la consultation</w:t>
      </w:r>
      <w:bookmarkEnd w:id="1"/>
    </w:p>
    <w:p w14:paraId="5299B9F2" w14:textId="77777777" w:rsidR="00755234" w:rsidRPr="004A3EB1" w:rsidRDefault="004A3EB1" w:rsidP="00F65906">
      <w:pPr>
        <w:pStyle w:val="CSNETITRE2"/>
      </w:pPr>
      <w:bookmarkStart w:id="2" w:name="_Toc119173935"/>
      <w:r>
        <w:t>Définition de la procédure</w:t>
      </w:r>
      <w:bookmarkEnd w:id="2"/>
    </w:p>
    <w:p w14:paraId="6E7F63C2" w14:textId="18CB3D01" w:rsidR="00755234" w:rsidRPr="00755234" w:rsidRDefault="00FD104A" w:rsidP="00D833CA">
      <w:pPr>
        <w:spacing w:line="276" w:lineRule="auto"/>
      </w:pPr>
      <w:r w:rsidRPr="00FD104A">
        <w:t>Le</w:t>
      </w:r>
      <w:r>
        <w:t xml:space="preserve"> marché public objet du présent Règlement de la Consultation (ci-après « RC ») </w:t>
      </w:r>
      <w:r w:rsidRPr="00FD104A">
        <w:t xml:space="preserve">est passé sous la forme d’un appel d’offres ouvert conformément aux articles R2124-2 et R2161-2 à R.2161-5 </w:t>
      </w:r>
      <w:r>
        <w:t>du Code de la commande publique</w:t>
      </w:r>
      <w:r w:rsidR="00755234">
        <w:t>.</w:t>
      </w:r>
    </w:p>
    <w:p w14:paraId="28230A6E" w14:textId="120BFBDD" w:rsidR="00755234" w:rsidRPr="00D833CA" w:rsidRDefault="00A27C26" w:rsidP="00755234">
      <w:pPr>
        <w:pStyle w:val="CSNETITRE2"/>
      </w:pPr>
      <w:bookmarkStart w:id="3" w:name="_Toc119173936"/>
      <w:r>
        <w:t>Forme du marché public</w:t>
      </w:r>
      <w:bookmarkEnd w:id="3"/>
      <w:r>
        <w:t xml:space="preserve"> </w:t>
      </w:r>
    </w:p>
    <w:p w14:paraId="550BF3D9" w14:textId="0BC019E1" w:rsidR="006D1C74" w:rsidRDefault="006D1C74" w:rsidP="006D1C74">
      <w:pPr>
        <w:spacing w:line="276" w:lineRule="auto"/>
      </w:pPr>
      <w:r>
        <w:t xml:space="preserve">Le marché public objet du présent RC est un accord-cadre mono-attributaire exécuté à la fois par la conclusion de marchés subséquents et par l’émission de bons de commande, en application des articles R2162-1 à R2162-6, R2162-7 à R2162-12 et R2162-13 et R2162-14 du Code de la commande publique. </w:t>
      </w:r>
    </w:p>
    <w:p w14:paraId="7C71CF09" w14:textId="739019D7" w:rsidR="006D1C74" w:rsidRDefault="006D1C74" w:rsidP="00DE58FF">
      <w:pPr>
        <w:spacing w:line="276" w:lineRule="auto"/>
      </w:pPr>
      <w:r>
        <w:t>Les bons de commande et marchés subséquents seront émis et conclus dans conditions fixées au Cahier des Clauses Administratives Particulières (CCAP).</w:t>
      </w:r>
    </w:p>
    <w:p w14:paraId="3017E7EB" w14:textId="77777777" w:rsidR="008F1785" w:rsidRPr="00D833CA" w:rsidRDefault="004A3EB1" w:rsidP="008F1785">
      <w:pPr>
        <w:pStyle w:val="CSNETITRE2"/>
      </w:pPr>
      <w:bookmarkStart w:id="4" w:name="_Toc119173937"/>
      <w:r w:rsidRPr="00D833CA">
        <w:t>Découpage des prestations</w:t>
      </w:r>
      <w:bookmarkEnd w:id="4"/>
      <w:r w:rsidR="008F1785" w:rsidRPr="00D833CA">
        <w:t xml:space="preserve"> </w:t>
      </w:r>
    </w:p>
    <w:p w14:paraId="2028F1A6" w14:textId="77777777" w:rsidR="00755234" w:rsidRPr="004A3EB1" w:rsidRDefault="00A27C26" w:rsidP="00755234">
      <w:pPr>
        <w:pStyle w:val="CSNETitre3"/>
        <w:rPr>
          <w:sz w:val="24"/>
          <w:szCs w:val="24"/>
        </w:rPr>
      </w:pPr>
      <w:bookmarkStart w:id="5" w:name="_Toc119173938"/>
      <w:r>
        <w:rPr>
          <w:sz w:val="24"/>
          <w:szCs w:val="24"/>
        </w:rPr>
        <w:t>Décomposition en lots</w:t>
      </w:r>
      <w:bookmarkEnd w:id="5"/>
      <w:r>
        <w:rPr>
          <w:sz w:val="24"/>
          <w:szCs w:val="24"/>
        </w:rPr>
        <w:t xml:space="preserve"> </w:t>
      </w:r>
    </w:p>
    <w:p w14:paraId="038DB80A" w14:textId="605BC832" w:rsidR="003B3BA0" w:rsidRDefault="003B3BA0" w:rsidP="003B3BA0">
      <w:r>
        <w:t>L’accord-cadre est décomposé en 2 lots, comme suit :</w:t>
      </w:r>
    </w:p>
    <w:p w14:paraId="11F72D67" w14:textId="4C813DA0" w:rsidR="003B3BA0" w:rsidRDefault="003B3BA0" w:rsidP="003B3BA0">
      <w:pPr>
        <w:pStyle w:val="Liste"/>
      </w:pPr>
      <w:r>
        <w:t xml:space="preserve">Lot A – Communication de proximité « Santerre-Haute Somme » et « Artois-Cambrésis » </w:t>
      </w:r>
    </w:p>
    <w:p w14:paraId="529595AB" w14:textId="6CF91A58" w:rsidR="003B3BA0" w:rsidRDefault="003B3BA0" w:rsidP="003B3BA0">
      <w:pPr>
        <w:spacing w:line="276" w:lineRule="auto"/>
      </w:pPr>
      <w:r>
        <w:t>Ce lot couvre les besoins en matière de communication de proximité pour la partie du linéaire du Canal traversant le Santerre-Haute Somme (S</w:t>
      </w:r>
      <w:r w:rsidR="00112148">
        <w:t xml:space="preserve">ecteur </w:t>
      </w:r>
      <w:r>
        <w:t xml:space="preserve">2 Somme, </w:t>
      </w:r>
      <w:r w:rsidR="00112148">
        <w:t xml:space="preserve">Secteur </w:t>
      </w:r>
      <w:r>
        <w:t>P</w:t>
      </w:r>
      <w:r w:rsidR="00112148">
        <w:t>ont-</w:t>
      </w:r>
      <w:r>
        <w:t>C</w:t>
      </w:r>
      <w:r w:rsidR="00112148">
        <w:t xml:space="preserve">anal de la </w:t>
      </w:r>
      <w:r>
        <w:t>S</w:t>
      </w:r>
      <w:r w:rsidR="00112148">
        <w:t>omme</w:t>
      </w:r>
      <w:r>
        <w:t xml:space="preserve"> et S</w:t>
      </w:r>
      <w:r w:rsidR="00112148">
        <w:t xml:space="preserve">ecteur </w:t>
      </w:r>
      <w:r>
        <w:t>3) et l’Artois-Cambrésis (S</w:t>
      </w:r>
      <w:r w:rsidR="00112148">
        <w:t xml:space="preserve">ecteur </w:t>
      </w:r>
      <w:r>
        <w:t>4).</w:t>
      </w:r>
    </w:p>
    <w:p w14:paraId="25ECA5EF" w14:textId="77777777" w:rsidR="003B3BA0" w:rsidRDefault="003B3BA0" w:rsidP="003B3BA0"/>
    <w:p w14:paraId="4F9BA560" w14:textId="525C9FD8" w:rsidR="003B3BA0" w:rsidRDefault="003B3BA0" w:rsidP="003B3BA0">
      <w:pPr>
        <w:pStyle w:val="Liste"/>
      </w:pPr>
      <w:r>
        <w:t>Lot B – Communication globale et transverse et communication de proximité « Noyonnais »</w:t>
      </w:r>
    </w:p>
    <w:p w14:paraId="6A6DD074" w14:textId="69DE5516" w:rsidR="003B3BA0" w:rsidRDefault="003B3BA0" w:rsidP="003B3BA0">
      <w:pPr>
        <w:spacing w:line="276" w:lineRule="auto"/>
      </w:pPr>
      <w:r>
        <w:lastRenderedPageBreak/>
        <w:t>Ce lot couvre les besoins en matière de communication globale et transverse et en matière de communication de proximité pour la partie du linéaire du Canal tra</w:t>
      </w:r>
      <w:r w:rsidR="008B2DE9">
        <w:t>versant le Noyonnais (Secteur 2 Oise</w:t>
      </w:r>
      <w:r>
        <w:t>).</w:t>
      </w:r>
    </w:p>
    <w:p w14:paraId="0A91A915" w14:textId="77777777" w:rsidR="003B3BA0" w:rsidRDefault="003B3BA0" w:rsidP="003B3BA0">
      <w:pPr>
        <w:spacing w:line="276" w:lineRule="auto"/>
      </w:pPr>
    </w:p>
    <w:p w14:paraId="5DCB2786" w14:textId="6DD22628" w:rsidR="00BE639E" w:rsidRDefault="003B3BA0" w:rsidP="003B3BA0">
      <w:pPr>
        <w:spacing w:line="276" w:lineRule="auto"/>
      </w:pPr>
      <w:r>
        <w:t>Le présent RC est commun à l’ensemble des lots. Chaque lot fait l’objet d’une analyse distincte.</w:t>
      </w:r>
    </w:p>
    <w:p w14:paraId="55B81EB0" w14:textId="7367CBE0" w:rsidR="00755234" w:rsidRPr="004A3EB1" w:rsidRDefault="001932E5" w:rsidP="00755234">
      <w:pPr>
        <w:pStyle w:val="CSNETitre3"/>
        <w:rPr>
          <w:sz w:val="24"/>
          <w:szCs w:val="24"/>
        </w:rPr>
      </w:pPr>
      <w:bookmarkStart w:id="6" w:name="_Toc119173939"/>
      <w:r>
        <w:rPr>
          <w:sz w:val="24"/>
          <w:szCs w:val="24"/>
        </w:rPr>
        <w:t>Décomposition en tranches</w:t>
      </w:r>
      <w:bookmarkEnd w:id="6"/>
    </w:p>
    <w:p w14:paraId="137E2C11" w14:textId="138E9F9D" w:rsidR="008F1785" w:rsidRPr="008F1785" w:rsidRDefault="001932E5" w:rsidP="00D833CA">
      <w:pPr>
        <w:spacing w:line="276" w:lineRule="auto"/>
      </w:pPr>
      <w:r w:rsidRPr="001932E5">
        <w:t>L’accord-cadre ne fait pas l’objet d’une décomposition en tranches.</w:t>
      </w:r>
    </w:p>
    <w:p w14:paraId="142DED88" w14:textId="2A0F6504" w:rsidR="001932E5" w:rsidRDefault="001932E5" w:rsidP="00FE4978">
      <w:pPr>
        <w:pStyle w:val="CSNETITRE2"/>
      </w:pPr>
      <w:bookmarkStart w:id="7" w:name="_Toc119173940"/>
      <w:r>
        <w:t>Options</w:t>
      </w:r>
      <w:bookmarkEnd w:id="7"/>
    </w:p>
    <w:p w14:paraId="4E7F3042" w14:textId="77777777" w:rsidR="00D275D9" w:rsidRPr="00D275D9" w:rsidRDefault="00D275D9" w:rsidP="00D275D9">
      <w:pPr>
        <w:pStyle w:val="CSNETitre3"/>
        <w:rPr>
          <w:sz w:val="24"/>
          <w:szCs w:val="24"/>
        </w:rPr>
      </w:pPr>
      <w:bookmarkStart w:id="8" w:name="_Toc52350940"/>
      <w:bookmarkStart w:id="9" w:name="_Toc99359898"/>
      <w:bookmarkStart w:id="10" w:name="_Toc119173941"/>
      <w:r w:rsidRPr="00D275D9">
        <w:rPr>
          <w:sz w:val="24"/>
          <w:szCs w:val="24"/>
        </w:rPr>
        <w:t>Reconduction</w:t>
      </w:r>
      <w:bookmarkEnd w:id="8"/>
      <w:bookmarkEnd w:id="9"/>
      <w:bookmarkEnd w:id="10"/>
    </w:p>
    <w:p w14:paraId="612CA0E6" w14:textId="5A63D84C" w:rsidR="00D275D9" w:rsidRPr="00D275D9" w:rsidRDefault="00D275D9" w:rsidP="00D275D9">
      <w:pPr>
        <w:spacing w:before="80" w:after="80" w:line="276" w:lineRule="auto"/>
        <w:rPr>
          <w:rFonts w:asciiTheme="majorHAnsi" w:eastAsia="Arial" w:hAnsiTheme="majorHAnsi" w:cstheme="majorHAnsi"/>
          <w:szCs w:val="20"/>
        </w:rPr>
      </w:pPr>
      <w:r w:rsidRPr="00D275D9">
        <w:rPr>
          <w:rFonts w:asciiTheme="majorHAnsi" w:eastAsia="Arial" w:hAnsiTheme="majorHAnsi" w:cstheme="majorHAnsi"/>
          <w:szCs w:val="20"/>
        </w:rPr>
        <w:t xml:space="preserve">L’accord-cadre est reconductible conformément aux dispositions de l’article </w:t>
      </w:r>
      <w:r>
        <w:rPr>
          <w:rFonts w:asciiTheme="majorHAnsi" w:eastAsia="Arial" w:hAnsiTheme="majorHAnsi" w:cstheme="majorHAnsi"/>
          <w:szCs w:val="20"/>
        </w:rPr>
        <w:fldChar w:fldCharType="begin"/>
      </w:r>
      <w:r>
        <w:rPr>
          <w:rFonts w:asciiTheme="majorHAnsi" w:eastAsia="Arial" w:hAnsiTheme="majorHAnsi" w:cstheme="majorHAnsi"/>
          <w:szCs w:val="20"/>
        </w:rPr>
        <w:instrText xml:space="preserve"> REF _Ref118972925 \r \h </w:instrText>
      </w:r>
      <w:r>
        <w:rPr>
          <w:rFonts w:asciiTheme="majorHAnsi" w:eastAsia="Arial" w:hAnsiTheme="majorHAnsi" w:cstheme="majorHAnsi"/>
          <w:szCs w:val="20"/>
        </w:rPr>
      </w:r>
      <w:r>
        <w:rPr>
          <w:rFonts w:asciiTheme="majorHAnsi" w:eastAsia="Arial" w:hAnsiTheme="majorHAnsi" w:cstheme="majorHAnsi"/>
          <w:szCs w:val="20"/>
        </w:rPr>
        <w:fldChar w:fldCharType="separate"/>
      </w:r>
      <w:r>
        <w:rPr>
          <w:rFonts w:asciiTheme="majorHAnsi" w:eastAsia="Arial" w:hAnsiTheme="majorHAnsi" w:cstheme="majorHAnsi"/>
          <w:szCs w:val="20"/>
        </w:rPr>
        <w:t>2.6</w:t>
      </w:r>
      <w:r>
        <w:rPr>
          <w:rFonts w:asciiTheme="majorHAnsi" w:eastAsia="Arial" w:hAnsiTheme="majorHAnsi" w:cstheme="majorHAnsi"/>
          <w:szCs w:val="20"/>
        </w:rPr>
        <w:fldChar w:fldCharType="end"/>
      </w:r>
      <w:r w:rsidRPr="00D275D9">
        <w:rPr>
          <w:rFonts w:asciiTheme="majorHAnsi" w:eastAsia="Arial" w:hAnsiTheme="majorHAnsi" w:cstheme="majorHAnsi"/>
          <w:szCs w:val="20"/>
        </w:rPr>
        <w:t xml:space="preserve"> ci-dessous.</w:t>
      </w:r>
    </w:p>
    <w:p w14:paraId="082581FE" w14:textId="77777777" w:rsidR="00D275D9" w:rsidRPr="00D275D9" w:rsidRDefault="00D275D9" w:rsidP="002735FC">
      <w:pPr>
        <w:pStyle w:val="CSNETitre3"/>
        <w:rPr>
          <w:sz w:val="24"/>
          <w:szCs w:val="24"/>
        </w:rPr>
      </w:pPr>
      <w:bookmarkStart w:id="11" w:name="_Toc27559450"/>
      <w:bookmarkStart w:id="12" w:name="_Toc27559507"/>
      <w:bookmarkStart w:id="13" w:name="_Toc27559564"/>
      <w:bookmarkStart w:id="14" w:name="_Toc52350941"/>
      <w:bookmarkStart w:id="15" w:name="_Toc99359899"/>
      <w:bookmarkStart w:id="16" w:name="_Toc119173942"/>
      <w:bookmarkEnd w:id="11"/>
      <w:bookmarkEnd w:id="12"/>
      <w:bookmarkEnd w:id="13"/>
      <w:r w:rsidRPr="00D275D9">
        <w:rPr>
          <w:sz w:val="24"/>
          <w:szCs w:val="24"/>
        </w:rPr>
        <w:t>Prestations similaires</w:t>
      </w:r>
      <w:bookmarkEnd w:id="14"/>
      <w:bookmarkEnd w:id="15"/>
      <w:bookmarkEnd w:id="16"/>
    </w:p>
    <w:p w14:paraId="22082C8D" w14:textId="192457AE" w:rsidR="00D275D9" w:rsidRDefault="00D275D9" w:rsidP="002735FC">
      <w:pPr>
        <w:spacing w:line="276" w:lineRule="auto"/>
      </w:pPr>
      <w:r w:rsidRPr="00D275D9">
        <w:t>Dans les conditions fixées par l’article R2122-7 du Code de la commande publique, les parties pourront conclure, après approbation des instances de contrôle du Pouvoir Adjudicateur, un accord-cadre portant sur la réalisation de prestations similaires à celles objet du présent accord-cadre.</w:t>
      </w:r>
    </w:p>
    <w:p w14:paraId="6A6D51C1" w14:textId="4E364CD2" w:rsidR="00F12E3B" w:rsidRDefault="00FE4978" w:rsidP="00FE4978">
      <w:pPr>
        <w:pStyle w:val="CSNETITRE2"/>
      </w:pPr>
      <w:bookmarkStart w:id="17" w:name="_Toc119173943"/>
      <w:r>
        <w:t>Encadrement financier des commandes</w:t>
      </w:r>
      <w:bookmarkEnd w:id="17"/>
    </w:p>
    <w:p w14:paraId="4544FCD4" w14:textId="77777777" w:rsidR="002735FC" w:rsidRPr="002735FC" w:rsidRDefault="002735FC" w:rsidP="002735FC">
      <w:pPr>
        <w:pStyle w:val="Liste"/>
      </w:pPr>
      <w:r w:rsidRPr="002735FC">
        <w:t xml:space="preserve">Lot A – Communication de proximité « Santerre-Haute Somme » et « Artois-Cambrésis » </w:t>
      </w:r>
    </w:p>
    <w:p w14:paraId="02A430EE" w14:textId="77777777" w:rsidR="002735FC" w:rsidRPr="002735FC" w:rsidRDefault="002735FC" w:rsidP="002735FC">
      <w:pPr>
        <w:spacing w:line="276" w:lineRule="auto"/>
      </w:pPr>
      <w:r w:rsidRPr="002735FC">
        <w:t>Les montants minimum et maximum de commande du lot A, pour sa durée totale, soit 4 ans, en valeur, sont les suivants :</w:t>
      </w:r>
    </w:p>
    <w:p w14:paraId="6FF5BAC1" w14:textId="77777777" w:rsidR="002735FC" w:rsidRPr="002735FC" w:rsidRDefault="002735FC" w:rsidP="002735FC">
      <w:pPr>
        <w:numPr>
          <w:ilvl w:val="2"/>
          <w:numId w:val="3"/>
        </w:numPr>
        <w:spacing w:before="60" w:after="60" w:line="276" w:lineRule="auto"/>
        <w:ind w:left="993" w:hanging="142"/>
        <w:rPr>
          <w:rFonts w:eastAsia="Arial" w:cs="Times New Roman"/>
        </w:rPr>
      </w:pPr>
      <w:r w:rsidRPr="002735FC">
        <w:rPr>
          <w:rFonts w:eastAsia="Arial" w:cs="Times New Roman"/>
        </w:rPr>
        <w:t>Montant minimum : 600 000 € HT</w:t>
      </w:r>
    </w:p>
    <w:p w14:paraId="410A62F8" w14:textId="77777777" w:rsidR="002735FC" w:rsidRPr="002735FC" w:rsidRDefault="002735FC" w:rsidP="002735FC">
      <w:pPr>
        <w:numPr>
          <w:ilvl w:val="2"/>
          <w:numId w:val="3"/>
        </w:numPr>
        <w:spacing w:before="60" w:after="60" w:line="276" w:lineRule="auto"/>
        <w:ind w:left="993" w:hanging="142"/>
        <w:rPr>
          <w:rFonts w:eastAsia="Arial" w:cs="Times New Roman"/>
        </w:rPr>
      </w:pPr>
      <w:r w:rsidRPr="002735FC">
        <w:rPr>
          <w:rFonts w:eastAsia="Arial" w:cs="Times New Roman"/>
        </w:rPr>
        <w:t>Montant maximum : 2 400 000 € HT</w:t>
      </w:r>
    </w:p>
    <w:p w14:paraId="42D2E58C" w14:textId="5CB259FF" w:rsidR="002735FC" w:rsidRDefault="00643720" w:rsidP="002735FC">
      <w:pPr>
        <w:spacing w:line="276" w:lineRule="auto"/>
      </w:pPr>
      <w:r>
        <w:t xml:space="preserve">Si </w:t>
      </w:r>
      <w:r w:rsidR="002735FC" w:rsidRPr="002735FC">
        <w:t>ce lot est reconduit pour deux années supplémentaires, son montant minimum ne sera pas modifié et son montant maximum, pour sa durée totale, soit 6 ans, sera porté à 3 600 000 € HT.</w:t>
      </w:r>
    </w:p>
    <w:p w14:paraId="41336C72" w14:textId="77777777" w:rsidR="00643720" w:rsidRPr="002735FC" w:rsidRDefault="00643720" w:rsidP="002735FC">
      <w:pPr>
        <w:spacing w:line="276" w:lineRule="auto"/>
      </w:pPr>
    </w:p>
    <w:p w14:paraId="2FBD077F" w14:textId="77777777" w:rsidR="002735FC" w:rsidRPr="002735FC" w:rsidRDefault="002735FC" w:rsidP="002735FC">
      <w:pPr>
        <w:pStyle w:val="Liste"/>
      </w:pPr>
      <w:r w:rsidRPr="002735FC">
        <w:t>Lot B – Communication globale et transverse et communication de proximité « Noyonnais »</w:t>
      </w:r>
    </w:p>
    <w:p w14:paraId="01D57299" w14:textId="77777777" w:rsidR="002735FC" w:rsidRPr="002735FC" w:rsidRDefault="002735FC" w:rsidP="002735FC">
      <w:pPr>
        <w:spacing w:line="276" w:lineRule="auto"/>
      </w:pPr>
      <w:r w:rsidRPr="002735FC">
        <w:t>Les montants minimum et maximum de commande du lot A, pour sa durée totale, soit 4 ans, en valeur, sont les suivants :</w:t>
      </w:r>
    </w:p>
    <w:p w14:paraId="749A1ACA" w14:textId="77777777" w:rsidR="002735FC" w:rsidRPr="002735FC" w:rsidRDefault="002735FC" w:rsidP="002735FC">
      <w:pPr>
        <w:numPr>
          <w:ilvl w:val="2"/>
          <w:numId w:val="3"/>
        </w:numPr>
        <w:spacing w:before="60" w:after="60" w:line="276" w:lineRule="auto"/>
        <w:ind w:left="993" w:hanging="142"/>
        <w:rPr>
          <w:rFonts w:eastAsia="Arial" w:cs="Times New Roman"/>
        </w:rPr>
      </w:pPr>
      <w:r w:rsidRPr="002735FC">
        <w:rPr>
          <w:rFonts w:eastAsia="Arial" w:cs="Times New Roman"/>
        </w:rPr>
        <w:t>Montant minimum : 800 000 € HT</w:t>
      </w:r>
    </w:p>
    <w:p w14:paraId="5702B4F7" w14:textId="77777777" w:rsidR="002735FC" w:rsidRPr="002735FC" w:rsidRDefault="002735FC" w:rsidP="002735FC">
      <w:pPr>
        <w:numPr>
          <w:ilvl w:val="2"/>
          <w:numId w:val="3"/>
        </w:numPr>
        <w:spacing w:before="60" w:after="60" w:line="276" w:lineRule="auto"/>
        <w:ind w:left="993" w:hanging="142"/>
        <w:rPr>
          <w:rFonts w:eastAsia="Arial" w:cs="Times New Roman"/>
        </w:rPr>
      </w:pPr>
      <w:r w:rsidRPr="002735FC">
        <w:rPr>
          <w:rFonts w:eastAsia="Arial" w:cs="Times New Roman"/>
        </w:rPr>
        <w:t>Montant maximum : 3 265 000 € HT</w:t>
      </w:r>
    </w:p>
    <w:p w14:paraId="1DE542C5" w14:textId="6D84CEF3" w:rsidR="002735FC" w:rsidRDefault="00643720" w:rsidP="002735FC">
      <w:pPr>
        <w:spacing w:line="276" w:lineRule="auto"/>
      </w:pPr>
      <w:r>
        <w:t xml:space="preserve">Si </w:t>
      </w:r>
      <w:r w:rsidR="002735FC" w:rsidRPr="002735FC">
        <w:t>ce lot est reconduit pour deux années supplémentaires, son montant minimum ne sera pas modifié et son montant maximum, pour sa durée totale, soit 6 ans, sera porté à 4 900 000 € HT.</w:t>
      </w:r>
    </w:p>
    <w:p w14:paraId="1B04237C" w14:textId="77777777" w:rsidR="00643720" w:rsidRPr="002735FC" w:rsidRDefault="00643720" w:rsidP="002735FC">
      <w:pPr>
        <w:spacing w:line="276" w:lineRule="auto"/>
      </w:pPr>
    </w:p>
    <w:p w14:paraId="50954D74" w14:textId="573839FD" w:rsidR="00643720" w:rsidRPr="00A60FB5" w:rsidRDefault="00F23BED" w:rsidP="00DE58FF">
      <w:pPr>
        <w:spacing w:line="276" w:lineRule="auto"/>
      </w:pPr>
      <w:r>
        <w:t>Les quantités estimatives,</w:t>
      </w:r>
      <w:r w:rsidRPr="00A60FB5">
        <w:t xml:space="preserve"> précisées dans le Détail Quantitatif</w:t>
      </w:r>
      <w:r>
        <w:t xml:space="preserve"> Estimatif (DQE), </w:t>
      </w:r>
      <w:r w:rsidRPr="00A60FB5">
        <w:t xml:space="preserve">n’ont pas valeur contractuelle. </w:t>
      </w:r>
    </w:p>
    <w:p w14:paraId="0C7F49AE" w14:textId="77777777" w:rsidR="000A0680" w:rsidRPr="000A0680" w:rsidRDefault="00F23BED" w:rsidP="00FA53AD">
      <w:pPr>
        <w:spacing w:line="276" w:lineRule="auto"/>
      </w:pPr>
      <w:r>
        <w:t xml:space="preserve">Le </w:t>
      </w:r>
      <w:r w:rsidRPr="00A60FB5">
        <w:t>DQE est à compléter par le candidat et servira à l’analyse du critère prix.</w:t>
      </w:r>
    </w:p>
    <w:p w14:paraId="0A3A60E5" w14:textId="77777777" w:rsidR="00FE4978" w:rsidRDefault="00FE4978" w:rsidP="00FE4978">
      <w:pPr>
        <w:pStyle w:val="CSNETITRE2"/>
      </w:pPr>
      <w:bookmarkStart w:id="18" w:name="_Ref118972925"/>
      <w:bookmarkStart w:id="19" w:name="_Toc119173944"/>
      <w:r>
        <w:lastRenderedPageBreak/>
        <w:t>Durée de l’accord-cadre et délais d’exécution</w:t>
      </w:r>
      <w:bookmarkEnd w:id="18"/>
      <w:bookmarkEnd w:id="19"/>
    </w:p>
    <w:p w14:paraId="7CA3EC02" w14:textId="77777777" w:rsidR="00F23BED" w:rsidRDefault="00F23BED" w:rsidP="00DE58FF">
      <w:pPr>
        <w:spacing w:line="276" w:lineRule="auto"/>
      </w:pPr>
      <w:r w:rsidRPr="0096730C">
        <w:t xml:space="preserve">Le présent </w:t>
      </w:r>
      <w:r>
        <w:t xml:space="preserve">accord-cadre </w:t>
      </w:r>
      <w:r w:rsidRPr="0096730C">
        <w:t xml:space="preserve">est conclu pour une durée ferme </w:t>
      </w:r>
      <w:r w:rsidR="00DE58FF" w:rsidRPr="0096730C">
        <w:t xml:space="preserve">de </w:t>
      </w:r>
      <w:r w:rsidR="00BE639E" w:rsidRPr="00BE639E">
        <w:rPr>
          <w:b/>
        </w:rPr>
        <w:t>quarante-huit</w:t>
      </w:r>
      <w:r w:rsidR="00DE58FF">
        <w:rPr>
          <w:b/>
        </w:rPr>
        <w:t xml:space="preserve"> (</w:t>
      </w:r>
      <w:r w:rsidR="00BE639E">
        <w:rPr>
          <w:b/>
        </w:rPr>
        <w:t>4</w:t>
      </w:r>
      <w:r w:rsidR="00DE58FF">
        <w:rPr>
          <w:b/>
        </w:rPr>
        <w:t>8) mois</w:t>
      </w:r>
      <w:r w:rsidRPr="0096730C">
        <w:t xml:space="preserve"> à compter</w:t>
      </w:r>
      <w:r>
        <w:t xml:space="preserve"> de sa date de notification.</w:t>
      </w:r>
    </w:p>
    <w:p w14:paraId="20042CB1" w14:textId="16C236E0" w:rsidR="006D1C74" w:rsidRDefault="006D1C74" w:rsidP="006D1C74">
      <w:pPr>
        <w:spacing w:after="200" w:line="276" w:lineRule="auto"/>
        <w:rPr>
          <w:rFonts w:eastAsia="Arial" w:cs="Times New Roman"/>
        </w:rPr>
      </w:pPr>
      <w:r w:rsidRPr="006D1C74">
        <w:rPr>
          <w:rFonts w:eastAsia="Arial" w:cs="Times New Roman"/>
        </w:rPr>
        <w:t>L’émission des bons de commande et la conclusion des marchés subséquents ne peuvent se faire que pendant la durée de validité du présent accord-cadre. Leur exécution peut se prolonger au-delà de la durée de l’accord-cadre, dans le cadre du délai d’exécution prévu par chaque bon de commande ou marché subséquent.</w:t>
      </w:r>
    </w:p>
    <w:p w14:paraId="33BFF309" w14:textId="2564C562" w:rsidR="00C1796D" w:rsidRDefault="008B1C4D" w:rsidP="006D1C74">
      <w:pPr>
        <w:spacing w:after="200" w:line="276" w:lineRule="auto"/>
        <w:rPr>
          <w:rFonts w:eastAsia="Arial" w:cs="Times New Roman"/>
        </w:rPr>
      </w:pPr>
      <w:r>
        <w:rPr>
          <w:rFonts w:eastAsia="Arial" w:cs="Times New Roman"/>
        </w:rPr>
        <w:t>L’</w:t>
      </w:r>
      <w:r w:rsidRPr="00C1796D">
        <w:rPr>
          <w:rFonts w:eastAsia="Arial" w:cs="Times New Roman"/>
        </w:rPr>
        <w:t>accord</w:t>
      </w:r>
      <w:r w:rsidR="00C1796D" w:rsidRPr="00C1796D">
        <w:rPr>
          <w:rFonts w:eastAsia="Arial" w:cs="Times New Roman"/>
        </w:rPr>
        <w:t xml:space="preserve">-cadre </w:t>
      </w:r>
      <w:r w:rsidR="00C1796D">
        <w:rPr>
          <w:rFonts w:eastAsia="Arial" w:cs="Times New Roman"/>
        </w:rPr>
        <w:t>sera</w:t>
      </w:r>
      <w:r w:rsidR="00C1796D" w:rsidRPr="00C1796D">
        <w:rPr>
          <w:rFonts w:eastAsia="Arial" w:cs="Times New Roman"/>
        </w:rPr>
        <w:t xml:space="preserve"> reconduit pour une période de </w:t>
      </w:r>
      <w:r w:rsidR="00C5692A">
        <w:rPr>
          <w:rFonts w:eastAsia="Arial" w:cs="Times New Roman"/>
        </w:rPr>
        <w:t>deux (</w:t>
      </w:r>
      <w:r w:rsidR="00C1796D" w:rsidRPr="00C1796D">
        <w:rPr>
          <w:rFonts w:eastAsia="Arial" w:cs="Times New Roman"/>
        </w:rPr>
        <w:t>2</w:t>
      </w:r>
      <w:r w:rsidR="00C5692A">
        <w:rPr>
          <w:rFonts w:eastAsia="Arial" w:cs="Times New Roman"/>
        </w:rPr>
        <w:t>)</w:t>
      </w:r>
      <w:r w:rsidR="00C1796D" w:rsidRPr="00C1796D">
        <w:rPr>
          <w:rFonts w:eastAsia="Arial" w:cs="Times New Roman"/>
        </w:rPr>
        <w:t xml:space="preserve"> ans sauf notification faite par le Maître d’Ouvrage par écrit au Titulaire ou par tous moyens permettant d’établir une date certaine de sa non-reconduction, au minimum 3 mois avant l’échéance de la période initiale.</w:t>
      </w:r>
    </w:p>
    <w:p w14:paraId="73845D9C" w14:textId="38BE7B12" w:rsidR="006D1C74" w:rsidRPr="006D1C74" w:rsidRDefault="006D1C74" w:rsidP="006D1C74">
      <w:pPr>
        <w:spacing w:after="200" w:line="276" w:lineRule="auto"/>
        <w:rPr>
          <w:rFonts w:eastAsia="Arial" w:cs="Times New Roman"/>
        </w:rPr>
      </w:pPr>
      <w:r w:rsidRPr="006D1C74">
        <w:rPr>
          <w:rFonts w:eastAsia="Arial" w:cs="Times New Roman"/>
        </w:rPr>
        <w:t xml:space="preserve">Les délais d’exécution des prestations faisant l’objet de bons de commande sont fixés par le </w:t>
      </w:r>
      <w:r w:rsidR="00C1796D">
        <w:rPr>
          <w:rFonts w:eastAsia="Arial" w:cs="Times New Roman"/>
        </w:rPr>
        <w:t>CCTP</w:t>
      </w:r>
      <w:r w:rsidRPr="006D1C74">
        <w:rPr>
          <w:rFonts w:eastAsia="Arial" w:cs="Times New Roman"/>
        </w:rPr>
        <w:t>. Quant aux prestations objet des marchés subséquents, leurs délais d’exécution sont définis par lesdits marchés subséquents.</w:t>
      </w:r>
    </w:p>
    <w:p w14:paraId="102DFED0" w14:textId="77777777" w:rsidR="00FE4978" w:rsidRDefault="00FE4978" w:rsidP="00FE4978">
      <w:pPr>
        <w:pStyle w:val="CSNETITRE2"/>
      </w:pPr>
      <w:bookmarkStart w:id="20" w:name="_Toc119173945"/>
      <w:r w:rsidRPr="00FE4978">
        <w:t>Variantes</w:t>
      </w:r>
      <w:bookmarkEnd w:id="20"/>
    </w:p>
    <w:p w14:paraId="4F953D77" w14:textId="1FE19171" w:rsidR="00DE58FF" w:rsidRPr="00DE58FF" w:rsidRDefault="00C1796D" w:rsidP="00DE58FF">
      <w:pPr>
        <w:spacing w:line="276" w:lineRule="auto"/>
      </w:pPr>
      <w:r w:rsidRPr="00C1796D">
        <w:t>Conformément à l’article R2151-8-1° a) du Code de la commande publique, les variantes sont interdites et le candidat est tenu de présenter une offre apportant une réponse conforme a</w:t>
      </w:r>
      <w:r>
        <w:t>ux documents de la consultation</w:t>
      </w:r>
      <w:r w:rsidR="00DE58FF" w:rsidRPr="00DE58FF">
        <w:t>.</w:t>
      </w:r>
    </w:p>
    <w:p w14:paraId="1C90823C" w14:textId="68FCD48A" w:rsidR="00DE58FF" w:rsidRPr="00F12E3B" w:rsidRDefault="00DE58FF" w:rsidP="00D833CA">
      <w:pPr>
        <w:spacing w:line="276" w:lineRule="auto"/>
      </w:pPr>
    </w:p>
    <w:p w14:paraId="6EE101AC" w14:textId="77777777" w:rsidR="00B040C7" w:rsidRDefault="00FE4978" w:rsidP="00FE4978">
      <w:pPr>
        <w:pStyle w:val="CSNETITRE1"/>
        <w:rPr>
          <w:szCs w:val="32"/>
        </w:rPr>
      </w:pPr>
      <w:bookmarkStart w:id="21" w:name="_Toc119173946"/>
      <w:r>
        <w:rPr>
          <w:szCs w:val="32"/>
        </w:rPr>
        <w:t>Renseignement d’ordre juridique, économique, financier et technique</w:t>
      </w:r>
      <w:bookmarkEnd w:id="21"/>
    </w:p>
    <w:p w14:paraId="2CFAAEA8" w14:textId="2DC226F3" w:rsidR="00976B05" w:rsidRDefault="00976B05" w:rsidP="00DE58FF">
      <w:pPr>
        <w:pStyle w:val="CSNETITRE2"/>
      </w:pPr>
      <w:bookmarkStart w:id="22" w:name="_Toc119173947"/>
      <w:r>
        <w:t>Modalités d’attribution des lots</w:t>
      </w:r>
      <w:bookmarkEnd w:id="22"/>
    </w:p>
    <w:p w14:paraId="07BDFD7D" w14:textId="77777777" w:rsidR="00976B05" w:rsidRDefault="00976B05" w:rsidP="00976B05">
      <w:pPr>
        <w:spacing w:line="276" w:lineRule="auto"/>
      </w:pPr>
      <w:r w:rsidRPr="00976B05">
        <w:t xml:space="preserve">Les candidats ont la possibilité de répondre à un ou </w:t>
      </w:r>
      <w:r>
        <w:t>aux deux</w:t>
      </w:r>
      <w:r w:rsidRPr="00976B05">
        <w:t xml:space="preserve"> lots. </w:t>
      </w:r>
    </w:p>
    <w:p w14:paraId="0C5CFD4A" w14:textId="128F7A55" w:rsidR="00976B05" w:rsidRPr="00976B05" w:rsidRDefault="00976B05" w:rsidP="00976B05">
      <w:pPr>
        <w:spacing w:line="276" w:lineRule="auto"/>
      </w:pPr>
      <w:r w:rsidRPr="00976B05">
        <w:t>Chaque lot fait l’objet d’une analyse distincte et les offres variables sont interdites conformément à l’article L2151-1 du Code de la commande publique.</w:t>
      </w:r>
    </w:p>
    <w:p w14:paraId="490A276F" w14:textId="006E9299" w:rsidR="00DE58FF" w:rsidRDefault="00FE4978" w:rsidP="00DE58FF">
      <w:pPr>
        <w:pStyle w:val="CSNETITRE2"/>
      </w:pPr>
      <w:bookmarkStart w:id="23" w:name="_Toc119173948"/>
      <w:r>
        <w:t>Nature de l’attributaire</w:t>
      </w:r>
      <w:bookmarkEnd w:id="23"/>
    </w:p>
    <w:p w14:paraId="2597A238" w14:textId="77777777" w:rsidR="00DE58FF" w:rsidRPr="00DE58FF" w:rsidRDefault="00DE58FF" w:rsidP="00DE58FF">
      <w:pPr>
        <w:spacing w:line="276" w:lineRule="auto"/>
      </w:pPr>
      <w:r w:rsidRPr="00DE58FF">
        <w:t>L’accord-cadre est conclu soit avec une entreprise unique, soit avec un groupement d’entreprises.</w:t>
      </w:r>
    </w:p>
    <w:p w14:paraId="45371077" w14:textId="77777777" w:rsidR="00DE58FF" w:rsidRPr="00DE58FF" w:rsidRDefault="00DE58FF" w:rsidP="00DE58FF">
      <w:pPr>
        <w:spacing w:line="276" w:lineRule="auto"/>
      </w:pPr>
      <w:r w:rsidRPr="00DE58FF">
        <w:t>Sous réserve du respect des règles relatives à la liberté des prix et à la concurrence et des exigences des articles R2142-19 et suivants du Code la Commande Publique, les opérateurs économiques sont autorisés à se porter candidat sous forme de groupement :</w:t>
      </w:r>
    </w:p>
    <w:p w14:paraId="6C7F8210" w14:textId="77777777" w:rsidR="00DE58FF" w:rsidRPr="00DE58FF" w:rsidRDefault="00DE58FF" w:rsidP="008C684D">
      <w:pPr>
        <w:pStyle w:val="Paragraphedeliste"/>
        <w:numPr>
          <w:ilvl w:val="0"/>
          <w:numId w:val="13"/>
        </w:numPr>
        <w:rPr>
          <w:sz w:val="22"/>
        </w:rPr>
      </w:pPr>
      <w:r w:rsidRPr="00DE58FF">
        <w:rPr>
          <w:sz w:val="22"/>
        </w:rPr>
        <w:t xml:space="preserve">soit conjoint lorsque chacun des opérateurs économiques membres du groupement s’engage à exécuter les prestations qui sont susceptibles de lui être attribuées ; </w:t>
      </w:r>
    </w:p>
    <w:p w14:paraId="72ADA209" w14:textId="77777777" w:rsidR="00DE58FF" w:rsidRPr="00DE58FF" w:rsidRDefault="00DE58FF" w:rsidP="008C684D">
      <w:pPr>
        <w:pStyle w:val="Paragraphedeliste"/>
        <w:numPr>
          <w:ilvl w:val="0"/>
          <w:numId w:val="13"/>
        </w:numPr>
        <w:rPr>
          <w:sz w:val="22"/>
        </w:rPr>
      </w:pPr>
      <w:r w:rsidRPr="00DE58FF">
        <w:rPr>
          <w:sz w:val="22"/>
        </w:rPr>
        <w:lastRenderedPageBreak/>
        <w:t>soit solidaire lorsque chacun des opérateurs économiques membres du groupement est engagé financièrement pour la totalité de l’accord-cadre.</w:t>
      </w:r>
    </w:p>
    <w:p w14:paraId="555B321C" w14:textId="77777777" w:rsidR="009061F4" w:rsidRDefault="009061F4" w:rsidP="00DE58FF">
      <w:pPr>
        <w:spacing w:line="276" w:lineRule="auto"/>
      </w:pPr>
    </w:p>
    <w:p w14:paraId="017CA4CF" w14:textId="25606D18" w:rsidR="00FA53AD" w:rsidRPr="00DE58FF" w:rsidRDefault="00DE58FF" w:rsidP="00DE58FF">
      <w:pPr>
        <w:spacing w:line="276" w:lineRule="auto"/>
      </w:pPr>
      <w:r w:rsidRPr="00DE58FF">
        <w:t>Par ailleurs, le mandataire du groupement ou l'un des membres du groupement, ne pourra pas présenter plusieurs offres en agissant à la fois en qualité de candidat individuel et de membre d'un ou de plusieurs groupements.</w:t>
      </w:r>
    </w:p>
    <w:p w14:paraId="25CB4F39" w14:textId="77777777" w:rsidR="00C51D0B" w:rsidRDefault="00FE4978" w:rsidP="00C51D0B">
      <w:pPr>
        <w:pStyle w:val="CSNETITRE2"/>
      </w:pPr>
      <w:bookmarkStart w:id="24" w:name="_Toc119173949"/>
      <w:r>
        <w:t xml:space="preserve">Sous </w:t>
      </w:r>
      <w:r w:rsidR="00553033">
        <w:t>traitance</w:t>
      </w:r>
      <w:bookmarkEnd w:id="24"/>
    </w:p>
    <w:p w14:paraId="03AB1621" w14:textId="77777777" w:rsidR="00C51D0B" w:rsidRPr="00C51D0B" w:rsidRDefault="00C51D0B" w:rsidP="00C51D0B">
      <w:pPr>
        <w:tabs>
          <w:tab w:val="left" w:pos="3720"/>
        </w:tabs>
        <w:spacing w:line="276" w:lineRule="auto"/>
        <w:rPr>
          <w:noProof/>
        </w:rPr>
      </w:pPr>
      <w:r w:rsidRPr="00C51D0B">
        <w:rPr>
          <w:noProof/>
        </w:rPr>
        <w:t>La sous-traitance totale est interdite.</w:t>
      </w:r>
    </w:p>
    <w:p w14:paraId="557C957D" w14:textId="77777777" w:rsidR="00C51D0B" w:rsidRPr="00C51D0B" w:rsidRDefault="00C51D0B" w:rsidP="00C51D0B">
      <w:pPr>
        <w:spacing w:line="276" w:lineRule="auto"/>
        <w:rPr>
          <w:noProof/>
        </w:rPr>
      </w:pPr>
      <w:r w:rsidRPr="00C51D0B">
        <w:rPr>
          <w:noProof/>
        </w:rPr>
        <w:t>L’offre, qu’elle soit présentée par une seule entreprise ou par un groupement, devra mentionner tous les sous-traitants connus lors de son dépôt. Elle devra également indiquer les prestations (et leur montant) dont la sous-traitance est envisagée, la dénomination et la qualité des sous-traitants qui l’exécuteront à la place du titulaire.</w:t>
      </w:r>
    </w:p>
    <w:p w14:paraId="277FC606" w14:textId="77777777" w:rsidR="00C51D0B" w:rsidRPr="00C51D0B" w:rsidRDefault="00C51D0B" w:rsidP="00C51D0B">
      <w:pPr>
        <w:spacing w:line="276" w:lineRule="auto"/>
        <w:rPr>
          <w:noProof/>
        </w:rPr>
      </w:pPr>
      <w:r w:rsidRPr="00C51D0B">
        <w:rPr>
          <w:noProof/>
        </w:rPr>
        <w:t>En application des articles R2193-1 et suivants du Code la Commande Publique, dans le cas où la demande de sous-traitance intervient au moment du dépôt de l'offre, le candidat fournit à l'acheteur une déclaration mentionnant :</w:t>
      </w:r>
    </w:p>
    <w:p w14:paraId="6BDC9BA9" w14:textId="77777777" w:rsidR="00C51D0B" w:rsidRPr="00C51D0B" w:rsidRDefault="00C51D0B" w:rsidP="008C684D">
      <w:pPr>
        <w:pStyle w:val="Paragraphedeliste"/>
        <w:numPr>
          <w:ilvl w:val="0"/>
          <w:numId w:val="14"/>
        </w:numPr>
        <w:rPr>
          <w:noProof/>
          <w:sz w:val="22"/>
        </w:rPr>
      </w:pPr>
      <w:r w:rsidRPr="00C51D0B">
        <w:rPr>
          <w:noProof/>
          <w:sz w:val="22"/>
        </w:rPr>
        <w:t>la nature des prestations sous-traitées ;</w:t>
      </w:r>
    </w:p>
    <w:p w14:paraId="094C872D" w14:textId="77777777" w:rsidR="00C51D0B" w:rsidRPr="00C51D0B" w:rsidRDefault="00C51D0B" w:rsidP="008C684D">
      <w:pPr>
        <w:pStyle w:val="Paragraphedeliste"/>
        <w:numPr>
          <w:ilvl w:val="0"/>
          <w:numId w:val="14"/>
        </w:numPr>
        <w:rPr>
          <w:noProof/>
          <w:sz w:val="22"/>
        </w:rPr>
      </w:pPr>
      <w:r w:rsidRPr="00C51D0B">
        <w:rPr>
          <w:noProof/>
          <w:sz w:val="22"/>
          <w:lang w:val="fr-FR"/>
        </w:rPr>
        <w:t>l</w:t>
      </w:r>
      <w:r w:rsidRPr="00C51D0B">
        <w:rPr>
          <w:noProof/>
          <w:sz w:val="22"/>
        </w:rPr>
        <w:t>e nom, la raison ou la dénomination sociale et l'adresse du sous-traitant proposé ;</w:t>
      </w:r>
    </w:p>
    <w:p w14:paraId="57EA88A9" w14:textId="77777777" w:rsidR="00C51D0B" w:rsidRPr="00C51D0B" w:rsidRDefault="00C51D0B" w:rsidP="008C684D">
      <w:pPr>
        <w:pStyle w:val="Paragraphedeliste"/>
        <w:numPr>
          <w:ilvl w:val="0"/>
          <w:numId w:val="14"/>
        </w:numPr>
        <w:rPr>
          <w:noProof/>
          <w:sz w:val="22"/>
        </w:rPr>
      </w:pPr>
      <w:r w:rsidRPr="00C51D0B">
        <w:rPr>
          <w:noProof/>
          <w:sz w:val="22"/>
          <w:lang w:val="fr-FR"/>
        </w:rPr>
        <w:t>l</w:t>
      </w:r>
      <w:r w:rsidRPr="00C51D0B">
        <w:rPr>
          <w:noProof/>
          <w:sz w:val="22"/>
        </w:rPr>
        <w:t>e montant maximum des sommes à verser au sous-traitant ;</w:t>
      </w:r>
    </w:p>
    <w:p w14:paraId="5B89A7E4" w14:textId="77777777" w:rsidR="00C51D0B" w:rsidRPr="00C51D0B" w:rsidRDefault="00C51D0B" w:rsidP="008C684D">
      <w:pPr>
        <w:pStyle w:val="Paragraphedeliste"/>
        <w:numPr>
          <w:ilvl w:val="0"/>
          <w:numId w:val="14"/>
        </w:numPr>
        <w:rPr>
          <w:noProof/>
          <w:sz w:val="22"/>
        </w:rPr>
      </w:pPr>
      <w:r w:rsidRPr="00C51D0B">
        <w:rPr>
          <w:noProof/>
          <w:sz w:val="22"/>
          <w:lang w:val="fr-FR"/>
        </w:rPr>
        <w:t>l</w:t>
      </w:r>
      <w:r w:rsidRPr="00C51D0B">
        <w:rPr>
          <w:noProof/>
          <w:sz w:val="22"/>
        </w:rPr>
        <w:t>es conditions de paiement prévues par le projet de contrat de sous-traitance et, le cas échéant, les modalités de variation des prix ;</w:t>
      </w:r>
    </w:p>
    <w:p w14:paraId="4AFAB044" w14:textId="77777777" w:rsidR="00C51D0B" w:rsidRPr="00C51D0B" w:rsidRDefault="00C51D0B" w:rsidP="008C684D">
      <w:pPr>
        <w:pStyle w:val="Paragraphedeliste"/>
        <w:numPr>
          <w:ilvl w:val="0"/>
          <w:numId w:val="14"/>
        </w:numPr>
        <w:rPr>
          <w:noProof/>
          <w:sz w:val="22"/>
        </w:rPr>
      </w:pPr>
      <w:r w:rsidRPr="00C51D0B">
        <w:rPr>
          <w:noProof/>
          <w:sz w:val="22"/>
          <w:lang w:val="fr-FR"/>
        </w:rPr>
        <w:t>l</w:t>
      </w:r>
      <w:r w:rsidRPr="00C51D0B">
        <w:rPr>
          <w:noProof/>
          <w:sz w:val="22"/>
        </w:rPr>
        <w:t>e cas échéant, les capacités du sous-traitant sur lesquelles le candidat s'appuie.</w:t>
      </w:r>
    </w:p>
    <w:p w14:paraId="0E4903C3" w14:textId="5A34BB02" w:rsidR="00C51D0B" w:rsidRPr="00C51D0B" w:rsidRDefault="00C51D0B" w:rsidP="00C51D0B">
      <w:pPr>
        <w:spacing w:line="276" w:lineRule="auto"/>
      </w:pPr>
      <w:r w:rsidRPr="00C51D0B">
        <w:t xml:space="preserve">Il lui remet également une déclaration du sous-traitant indiquant qu'il ne tombe pas sous le coup d'une interdiction de soumissionner ainsi que les certificats, attestations et autres documents précisés à l’article </w:t>
      </w:r>
      <w:r w:rsidR="00AC1B13">
        <w:fldChar w:fldCharType="begin"/>
      </w:r>
      <w:r w:rsidR="00AC1B13">
        <w:instrText xml:space="preserve"> REF _Ref118975222 \r \h </w:instrText>
      </w:r>
      <w:r w:rsidR="00AC1B13">
        <w:fldChar w:fldCharType="separate"/>
      </w:r>
      <w:r w:rsidR="00AC1B13">
        <w:t>10</w:t>
      </w:r>
      <w:r w:rsidR="00AC1B13">
        <w:fldChar w:fldCharType="end"/>
      </w:r>
      <w:r w:rsidRPr="00B81DD5">
        <w:t xml:space="preserve"> ci-après.</w:t>
      </w:r>
    </w:p>
    <w:p w14:paraId="22220843" w14:textId="77777777" w:rsidR="00C51D0B" w:rsidRPr="00C51D0B" w:rsidRDefault="00C51D0B" w:rsidP="00C51D0B">
      <w:pPr>
        <w:spacing w:line="276" w:lineRule="auto"/>
        <w:rPr>
          <w:noProof/>
        </w:rPr>
      </w:pPr>
      <w:r w:rsidRPr="00C51D0B">
        <w:rPr>
          <w:noProof/>
        </w:rPr>
        <w:t>Si le candidat présente un sous-traitant dans son offre, celui-ci pourra le faire au moyen du formulaire DC4 – Déclaration de sous-traitance établi par la Direction des affaires juridiques du Ministère de l’Economie et des Finances et accessible via le lien suivant :</w:t>
      </w:r>
    </w:p>
    <w:p w14:paraId="0EA3C391" w14:textId="77777777" w:rsidR="00C51D0B" w:rsidRPr="00FA53AD" w:rsidRDefault="0082178B" w:rsidP="00FA53AD">
      <w:pPr>
        <w:spacing w:line="276" w:lineRule="auto"/>
        <w:rPr>
          <w:i/>
          <w:lang w:eastAsia="fr-FR"/>
        </w:rPr>
      </w:pPr>
      <w:hyperlink r:id="rId13" w:history="1">
        <w:r w:rsidR="00C51D0B" w:rsidRPr="00C51D0B">
          <w:rPr>
            <w:rStyle w:val="Lienhypertexte"/>
            <w:i/>
            <w:noProof/>
            <w:color w:val="auto"/>
          </w:rPr>
          <w:t>https://www.economie.gouv.fr/daj/formulaires-declaration-du-candidat</w:t>
        </w:r>
      </w:hyperlink>
      <w:r w:rsidR="00C51D0B" w:rsidRPr="00C51D0B">
        <w:rPr>
          <w:i/>
          <w:noProof/>
        </w:rPr>
        <w:t>.</w:t>
      </w:r>
    </w:p>
    <w:p w14:paraId="28FD6368" w14:textId="5C59CE79" w:rsidR="007C25B3" w:rsidRDefault="00B0527A" w:rsidP="00B0527A">
      <w:pPr>
        <w:pStyle w:val="CSNETITRE2"/>
      </w:pPr>
      <w:bookmarkStart w:id="25" w:name="_Toc119173950"/>
      <w:r w:rsidRPr="00B0527A">
        <w:t>CLAUSE D’INSERTION PAR L’ACTIVITE ECONOMIQUE (CIAE)</w:t>
      </w:r>
      <w:bookmarkEnd w:id="25"/>
    </w:p>
    <w:p w14:paraId="39C4360B" w14:textId="5F31D0B3" w:rsidR="00E2687A" w:rsidRDefault="00E2687A" w:rsidP="00E2687A">
      <w:pPr>
        <w:tabs>
          <w:tab w:val="left" w:pos="3720"/>
        </w:tabs>
        <w:spacing w:line="276" w:lineRule="auto"/>
        <w:rPr>
          <w:noProof/>
        </w:rPr>
      </w:pPr>
      <w:r>
        <w:rPr>
          <w:noProof/>
        </w:rPr>
        <w:t>Le pouvoir adjudicateur dans une logique de promotion d’une politique d’achat responsable et solidaire et dans un souci d’adaptation de son fonctionnement aux enjeux et finalités du développement durable a décidé de prescrire des exigences sociales dans ses marchés publics et d’évaluer l’impact de leur application. Ces exigences constituent à la fois un outil de développement économique et un levier favorisant l’insertion des publics en parcours d’insertion vers l’emploi, éligibles au dispositif clause d’insertion par l’activité économique (CIAE).</w:t>
      </w:r>
    </w:p>
    <w:p w14:paraId="375A0662" w14:textId="77777777" w:rsidR="00E2687A" w:rsidRDefault="00E2687A" w:rsidP="00E2687A">
      <w:pPr>
        <w:tabs>
          <w:tab w:val="left" w:pos="3720"/>
        </w:tabs>
        <w:spacing w:line="276" w:lineRule="auto"/>
        <w:rPr>
          <w:noProof/>
        </w:rPr>
      </w:pPr>
    </w:p>
    <w:p w14:paraId="13B3B4E5" w14:textId="77777777" w:rsidR="00E2687A" w:rsidRDefault="00E2687A" w:rsidP="00E2687A">
      <w:pPr>
        <w:tabs>
          <w:tab w:val="left" w:pos="3720"/>
        </w:tabs>
        <w:spacing w:line="276" w:lineRule="auto"/>
        <w:rPr>
          <w:noProof/>
        </w:rPr>
      </w:pPr>
      <w:r>
        <w:rPr>
          <w:noProof/>
        </w:rPr>
        <w:t>A ce titre, le marché intègre une clause obligatoire d’insertion des publics concernés en application de l’article L2112-2 du code de la commande publique. L’engagement d’insertion est formalisé dans l’acte d’engagement et sera réalisé selon les modalités détaillées à l’annexe insertion du CCAP « Clause d’Insertion par l’Activité Economique (CIAE) ».</w:t>
      </w:r>
    </w:p>
    <w:p w14:paraId="702F801E" w14:textId="77777777" w:rsidR="00E2687A" w:rsidRDefault="00E2687A" w:rsidP="00E2687A">
      <w:pPr>
        <w:tabs>
          <w:tab w:val="left" w:pos="3720"/>
        </w:tabs>
        <w:spacing w:line="276" w:lineRule="auto"/>
        <w:rPr>
          <w:noProof/>
        </w:rPr>
      </w:pPr>
      <w:r>
        <w:rPr>
          <w:noProof/>
        </w:rPr>
        <w:t>Le candidat qui se verra attribuer le marché devra ainsi obligatoirement réaliser une action d’insertion facilitant l’accès à l’emploi durable de personnes s’inscrivant dans la logique d’un parcours d’insertion, notamment des bénéficiaires du RSA. Dans ce cadre, le titulaire veillera à promouvoir l’égalité entre les hommes et les femmes en application du principe d’égalité des chances, lors des différentes étapes de la mise en œuvre de la CIAE.</w:t>
      </w:r>
    </w:p>
    <w:p w14:paraId="6952F150" w14:textId="77777777" w:rsidR="00E2687A" w:rsidRDefault="00E2687A" w:rsidP="00E2687A">
      <w:pPr>
        <w:tabs>
          <w:tab w:val="left" w:pos="3720"/>
        </w:tabs>
        <w:spacing w:line="276" w:lineRule="auto"/>
        <w:rPr>
          <w:noProof/>
        </w:rPr>
      </w:pPr>
      <w:r>
        <w:rPr>
          <w:noProof/>
        </w:rPr>
        <w:t xml:space="preserve">Le pouvoir adjudicateur en lien avec les Départements a mis en place une offre de service spécifique qui doit permettre aux entreprises candidates d’être accompagnées dans la bonne compréhension et la mise en œuvre du dispositif CIAE. Cet accompagnement sera mis en œuvre par un coordonnateur référent désigné au sein du réseau interdépartemental.  </w:t>
      </w:r>
    </w:p>
    <w:p w14:paraId="2E0071FD" w14:textId="77777777" w:rsidR="00E2687A" w:rsidRDefault="00E2687A" w:rsidP="00E2687A">
      <w:pPr>
        <w:tabs>
          <w:tab w:val="left" w:pos="3720"/>
        </w:tabs>
        <w:spacing w:line="276" w:lineRule="auto"/>
        <w:rPr>
          <w:noProof/>
        </w:rPr>
      </w:pPr>
      <w:r>
        <w:rPr>
          <w:noProof/>
        </w:rPr>
        <w:t>Suite à la réunion de lancement du marché, le titulaire devra remettre son projet de plan de mise en œuvre de la CIAE au coordonnateur référent et au maître d’ouvrage.</w:t>
      </w:r>
    </w:p>
    <w:p w14:paraId="1FE520D5" w14:textId="6221CE46" w:rsidR="00E2687A" w:rsidRPr="00E2687A" w:rsidRDefault="00E2687A" w:rsidP="00E2687A">
      <w:pPr>
        <w:tabs>
          <w:tab w:val="left" w:pos="3720"/>
        </w:tabs>
        <w:spacing w:line="276" w:lineRule="auto"/>
        <w:rPr>
          <w:noProof/>
        </w:rPr>
      </w:pPr>
      <w:r>
        <w:rPr>
          <w:noProof/>
        </w:rPr>
        <w:t>Lors de la réunion de cadrage de l’engagement d’insertion, le projet de plan de mise en œuvre de la CIAE proposé par l’entreprise attributaire sera examiné, enrichi ou amendé le cas échéant, puis validé par la SCSNE après avis favorable du coordonnateur référent.</w:t>
      </w:r>
    </w:p>
    <w:p w14:paraId="3B924141" w14:textId="14E17976" w:rsidR="00553033" w:rsidRDefault="00553033" w:rsidP="00553033">
      <w:pPr>
        <w:pStyle w:val="CSNETITRE2"/>
      </w:pPr>
      <w:bookmarkStart w:id="26" w:name="_Toc119173951"/>
      <w:r>
        <w:t xml:space="preserve">Complément a apporter aux cahiers des clauses particulieres </w:t>
      </w:r>
      <w:r w:rsidRPr="00553033">
        <w:t>(CCAP ET CCTP)</w:t>
      </w:r>
      <w:bookmarkEnd w:id="26"/>
    </w:p>
    <w:p w14:paraId="74DE4190" w14:textId="6754E2E4" w:rsidR="00C51D0B" w:rsidRPr="00C51D0B" w:rsidRDefault="00C51D0B" w:rsidP="00FA53AD">
      <w:pPr>
        <w:spacing w:line="276" w:lineRule="auto"/>
      </w:pPr>
      <w:r w:rsidRPr="00C51D0B">
        <w:t>Le candidat n’est pas autorisé à modifier les cahiers des clauses particulières. Il peut néanmoins attirer l’attention du Pouvoir Adjudicateur sur toute disposition qui lui parait devoir être signalée, sous forme de dem</w:t>
      </w:r>
      <w:r w:rsidR="002C1521">
        <w:t xml:space="preserve">ande de précisions ou questions conformément à l’article 9 ci-après. </w:t>
      </w:r>
    </w:p>
    <w:p w14:paraId="0D86212F" w14:textId="77777777" w:rsidR="00553033" w:rsidRDefault="00553033" w:rsidP="00553033">
      <w:pPr>
        <w:pStyle w:val="CSNETITRE2"/>
      </w:pPr>
      <w:bookmarkStart w:id="27" w:name="_Toc119173952"/>
      <w:r>
        <w:t>Mode de règlement</w:t>
      </w:r>
      <w:bookmarkEnd w:id="27"/>
      <w:r>
        <w:t xml:space="preserve"> </w:t>
      </w:r>
    </w:p>
    <w:p w14:paraId="6DB3C2E4" w14:textId="77777777" w:rsidR="00C01D43" w:rsidRPr="00C01D43" w:rsidRDefault="00C01D43" w:rsidP="00B0527A">
      <w:pPr>
        <w:spacing w:line="276" w:lineRule="auto"/>
      </w:pPr>
      <w:r>
        <w:t>Le mode de règlement choisi par le Maître d’Ouvrage est le virement.</w:t>
      </w:r>
    </w:p>
    <w:p w14:paraId="24489539" w14:textId="77777777" w:rsidR="00C01D43" w:rsidRDefault="00793A66" w:rsidP="00C01D43">
      <w:pPr>
        <w:pStyle w:val="CSNETITRE2"/>
      </w:pPr>
      <w:bookmarkStart w:id="28" w:name="_Toc119173953"/>
      <w:r>
        <w:t>Délai de validité des offres</w:t>
      </w:r>
      <w:bookmarkEnd w:id="28"/>
    </w:p>
    <w:p w14:paraId="0D98CD41" w14:textId="56A5B146" w:rsidR="00B0527A" w:rsidRPr="00C01D43" w:rsidRDefault="00B0527A" w:rsidP="00B0527A">
      <w:r w:rsidRPr="00B0527A">
        <w:t>Le délai de validité des offres est d’un (1) an ; il court à compter de la date limite fixée pour la remise des offres.</w:t>
      </w:r>
    </w:p>
    <w:p w14:paraId="59A3C139" w14:textId="2F5AC638" w:rsidR="00C01D43" w:rsidRDefault="00793A66" w:rsidP="00C01D43">
      <w:pPr>
        <w:pStyle w:val="CSNETITRE2"/>
      </w:pPr>
      <w:bookmarkStart w:id="29" w:name="_Toc119173954"/>
      <w:r>
        <w:t>Langue utilisée dans l’offre</w:t>
      </w:r>
      <w:bookmarkEnd w:id="29"/>
    </w:p>
    <w:p w14:paraId="7A3899F8" w14:textId="77777777" w:rsidR="00C01D43" w:rsidRPr="00C01D43" w:rsidRDefault="00C01D43" w:rsidP="00B0527A">
      <w:pPr>
        <w:tabs>
          <w:tab w:val="left" w:pos="3720"/>
        </w:tabs>
        <w:spacing w:line="276" w:lineRule="auto"/>
        <w:rPr>
          <w:noProof/>
        </w:rPr>
      </w:pPr>
      <w:r w:rsidRPr="00C01D43">
        <w:rPr>
          <w:noProof/>
        </w:rPr>
        <w:t xml:space="preserve">Le français est la seule langue à utiliser pour tous les documents et toutes les relations entre le Pouvoir Adjudicateur, ou ses représentants, et les candidats. Si des pièces accompagnant le dossier de candidature </w:t>
      </w:r>
      <w:r w:rsidRPr="00C01D43">
        <w:rPr>
          <w:noProof/>
        </w:rPr>
        <w:lastRenderedPageBreak/>
        <w:t>et l’offre sont rédigées en langue étrangère, elles seront acceptées si elles sont accompagnées d’une traduction en langue française. Dans ce cas, seule la version française fera foi.</w:t>
      </w:r>
    </w:p>
    <w:p w14:paraId="6877BF5E" w14:textId="77777777" w:rsidR="00C01D43" w:rsidRPr="00C01D43" w:rsidRDefault="00C01D43" w:rsidP="00B0527A">
      <w:pPr>
        <w:tabs>
          <w:tab w:val="left" w:pos="3720"/>
        </w:tabs>
        <w:spacing w:line="276" w:lineRule="auto"/>
        <w:rPr>
          <w:noProof/>
        </w:rPr>
      </w:pPr>
      <w:r w:rsidRPr="00C01D43">
        <w:rPr>
          <w:noProof/>
        </w:rPr>
        <w:t>Cependant des éléments complémentaires ayant une valeur indicative non strictement nécessaire à la compréhension de l’offre, type plaquettes commerciales ou techniques, pourront être remis en langue anglaise.</w:t>
      </w:r>
    </w:p>
    <w:p w14:paraId="54F57827" w14:textId="77777777" w:rsidR="00C01D43" w:rsidRDefault="00793A66" w:rsidP="00C01D43">
      <w:pPr>
        <w:pStyle w:val="CSNETITRE2"/>
      </w:pPr>
      <w:bookmarkStart w:id="30" w:name="_Toc119173955"/>
      <w:r>
        <w:t>Unité monétaire du marché public</w:t>
      </w:r>
      <w:bookmarkEnd w:id="30"/>
    </w:p>
    <w:p w14:paraId="680F456F" w14:textId="1ACAB778" w:rsidR="00C01D43" w:rsidRPr="00C01D43" w:rsidRDefault="00C01D43" w:rsidP="00C01D43">
      <w:r w:rsidRPr="00C01D43">
        <w:t xml:space="preserve">L’unité monétaire </w:t>
      </w:r>
      <w:r w:rsidR="00B0527A">
        <w:t>de l’accord-cadre</w:t>
      </w:r>
      <w:r w:rsidRPr="00C01D43">
        <w:t xml:space="preserve"> est l'euro.</w:t>
      </w:r>
    </w:p>
    <w:p w14:paraId="2CE7A84A" w14:textId="77777777" w:rsidR="00C01D43" w:rsidRDefault="00793A66" w:rsidP="00C01D43">
      <w:pPr>
        <w:pStyle w:val="CSNETITRE2"/>
      </w:pPr>
      <w:bookmarkStart w:id="31" w:name="_Toc119173956"/>
      <w:r>
        <w:t>Visite</w:t>
      </w:r>
      <w:bookmarkEnd w:id="31"/>
      <w:r>
        <w:t xml:space="preserve"> </w:t>
      </w:r>
    </w:p>
    <w:p w14:paraId="4E2FE71D" w14:textId="77777777" w:rsidR="00C01D43" w:rsidRPr="00C01D43" w:rsidRDefault="00C01D43" w:rsidP="00C01D43">
      <w:r w:rsidRPr="00C01D43">
        <w:t>Il n’est pas prévu de visite de site organisée par la SCSNE dans le cadre de la présente consultation.</w:t>
      </w:r>
    </w:p>
    <w:p w14:paraId="1EC22146" w14:textId="77777777" w:rsidR="00793A66" w:rsidRDefault="00793A66" w:rsidP="00793A66">
      <w:pPr>
        <w:pStyle w:val="CSNETITRE2"/>
      </w:pPr>
      <w:bookmarkStart w:id="32" w:name="_Toc119173957"/>
      <w:r>
        <w:t>Confidentialité des documents</w:t>
      </w:r>
      <w:bookmarkEnd w:id="32"/>
    </w:p>
    <w:p w14:paraId="188336D3" w14:textId="77777777" w:rsidR="00553033" w:rsidRDefault="00C01D43" w:rsidP="00C01D43">
      <w:pPr>
        <w:spacing w:line="276" w:lineRule="auto"/>
      </w:pPr>
      <w:r w:rsidRPr="00C01D43">
        <w:t>Les documents de consultation sont à la disposition des candidats potentiels mais restent l’entière propriété du Maître d’Ouvrage. Le Maître d’Ouvrage se réserve un droit d’action contre toute utilisation abusive de ces documents.</w:t>
      </w:r>
    </w:p>
    <w:p w14:paraId="7CDAFF8F" w14:textId="77777777" w:rsidR="003417DE" w:rsidRDefault="003417DE" w:rsidP="00C01D43">
      <w:pPr>
        <w:spacing w:line="276" w:lineRule="auto"/>
      </w:pPr>
    </w:p>
    <w:p w14:paraId="5B78FB3B" w14:textId="77777777" w:rsidR="0004504E" w:rsidRPr="00585BE7" w:rsidRDefault="0004504E" w:rsidP="00D833CA">
      <w:pPr>
        <w:spacing w:line="276" w:lineRule="auto"/>
      </w:pPr>
    </w:p>
    <w:p w14:paraId="4B4AE06C" w14:textId="77777777" w:rsidR="00B91DF9" w:rsidRPr="00153EC5" w:rsidRDefault="00793A66" w:rsidP="00153EC5">
      <w:pPr>
        <w:pStyle w:val="CSNETITRE1"/>
        <w:rPr>
          <w:szCs w:val="32"/>
        </w:rPr>
      </w:pPr>
      <w:bookmarkStart w:id="33" w:name="_Toc119173958"/>
      <w:r>
        <w:rPr>
          <w:szCs w:val="32"/>
        </w:rPr>
        <w:t>Dossier de consultation des entreprises (DCE)</w:t>
      </w:r>
      <w:bookmarkEnd w:id="33"/>
    </w:p>
    <w:p w14:paraId="49F9259E" w14:textId="019AAE7E" w:rsidR="009238F8" w:rsidRDefault="00793A66" w:rsidP="000C13F4">
      <w:pPr>
        <w:pStyle w:val="CSNETITRE2"/>
      </w:pPr>
      <w:bookmarkStart w:id="34" w:name="_Toc119173959"/>
      <w:r>
        <w:t>Contenu du dossier de consultation des entreprises (DCE)</w:t>
      </w:r>
      <w:bookmarkEnd w:id="34"/>
    </w:p>
    <w:p w14:paraId="2624DB96" w14:textId="13960B69" w:rsidR="00426DD2" w:rsidRDefault="00426DD2" w:rsidP="00426DD2"/>
    <w:p w14:paraId="2E981C87" w14:textId="0B2EF4F6" w:rsidR="00426DD2" w:rsidRDefault="00426DD2" w:rsidP="00426DD2">
      <w:pPr>
        <w:spacing w:line="276" w:lineRule="auto"/>
      </w:pPr>
      <w:r>
        <w:t>Le dossier de consultation est disponible gratuitement sur le profil d’acheteur de la SCSNE (plateforme de dématérialisation des achats de l’État PLACE). Le CCAP précise la liste des documents contractuels.</w:t>
      </w:r>
    </w:p>
    <w:p w14:paraId="579D2135" w14:textId="77777777" w:rsidR="00426DD2" w:rsidRDefault="00426DD2" w:rsidP="00426DD2">
      <w:pPr>
        <w:spacing w:line="276" w:lineRule="auto"/>
      </w:pPr>
    </w:p>
    <w:p w14:paraId="1C8B3652" w14:textId="4C183459" w:rsidR="00426DD2" w:rsidRDefault="00426DD2" w:rsidP="00426DD2">
      <w:pPr>
        <w:spacing w:line="276" w:lineRule="auto"/>
      </w:pPr>
      <w:r>
        <w:t>Le présent dossier de consultation remis aux candidats est constitué par :</w:t>
      </w:r>
    </w:p>
    <w:p w14:paraId="40FE44C8" w14:textId="77777777" w:rsidR="00426DD2" w:rsidRDefault="00426DD2" w:rsidP="00426DD2">
      <w:pPr>
        <w:spacing w:line="276" w:lineRule="auto"/>
      </w:pPr>
    </w:p>
    <w:p w14:paraId="23AFA203" w14:textId="31169856" w:rsidR="00426DD2" w:rsidRDefault="00426DD2" w:rsidP="00426DD2">
      <w:pPr>
        <w:pStyle w:val="Liste"/>
      </w:pPr>
      <w:r>
        <w:t>Le présent règlement de la consultation (RC) et son annexe</w:t>
      </w:r>
      <w:r w:rsidR="009E5C6C">
        <w:t>,</w:t>
      </w:r>
      <w:r>
        <w:t xml:space="preserve"> communs à tous les lots :</w:t>
      </w:r>
    </w:p>
    <w:p w14:paraId="29362493" w14:textId="169E3D73" w:rsidR="00426DD2" w:rsidRDefault="00426DD2" w:rsidP="00753A01">
      <w:pPr>
        <w:pStyle w:val="Liste3"/>
      </w:pPr>
      <w:r w:rsidRPr="00B40170">
        <w:t>Annexe 1 : Modalités pratiques de transmission des plis au format électronique</w:t>
      </w:r>
    </w:p>
    <w:p w14:paraId="524CD391" w14:textId="219CFC9B" w:rsidR="00426DD2" w:rsidRDefault="00426DD2" w:rsidP="00B40170">
      <w:pPr>
        <w:pStyle w:val="Liste"/>
      </w:pPr>
      <w:r>
        <w:t>Un acte d’engagement (AE) et ses annexes (pour chacun des lots) :</w:t>
      </w:r>
    </w:p>
    <w:p w14:paraId="685D5177" w14:textId="2598D7AF" w:rsidR="00426DD2" w:rsidRDefault="00426DD2" w:rsidP="00B40170">
      <w:pPr>
        <w:pStyle w:val="Liste3"/>
      </w:pPr>
      <w:r>
        <w:t>Annexe 1 : Cadre de nantissement ou de cession de créance</w:t>
      </w:r>
    </w:p>
    <w:p w14:paraId="5F0B42BB" w14:textId="3B106385" w:rsidR="00426DD2" w:rsidRDefault="00426DD2" w:rsidP="00B40170">
      <w:pPr>
        <w:pStyle w:val="Liste3"/>
      </w:pPr>
      <w:r>
        <w:t xml:space="preserve">Annexe 2 : Déclaration(s) de sous-traitance établie(s) au moyen du formulaire DC4 </w:t>
      </w:r>
    </w:p>
    <w:p w14:paraId="4E0BED7A" w14:textId="74C3E131" w:rsidR="00426DD2" w:rsidRDefault="00426DD2" w:rsidP="00B40170">
      <w:pPr>
        <w:pStyle w:val="Liste3"/>
      </w:pPr>
      <w:r>
        <w:t xml:space="preserve">Annexe 3 : Répartition des prestations par cotraitants </w:t>
      </w:r>
    </w:p>
    <w:p w14:paraId="7FFA8093" w14:textId="284EA94F" w:rsidR="00426DD2" w:rsidRDefault="00426DD2" w:rsidP="00753A01">
      <w:pPr>
        <w:pStyle w:val="Liste3"/>
      </w:pPr>
      <w:r>
        <w:t>Annexe 4 : Modèle de Charte de confidentialité du projet Canal Seine Nord Europe</w:t>
      </w:r>
    </w:p>
    <w:p w14:paraId="482391CB" w14:textId="4FBED857" w:rsidR="00426DD2" w:rsidRDefault="00426DD2" w:rsidP="00B40170">
      <w:pPr>
        <w:pStyle w:val="Liste"/>
      </w:pPr>
      <w:r>
        <w:t>Le cahier des clauses administratives particulières (CCAP) et son annexe</w:t>
      </w:r>
      <w:r w:rsidR="009E5C6C">
        <w:t>,</w:t>
      </w:r>
      <w:r w:rsidR="00B40170" w:rsidRPr="00B40170">
        <w:t xml:space="preserve"> communs à tous les lots</w:t>
      </w:r>
      <w:r w:rsidR="009E5C6C">
        <w:t> </w:t>
      </w:r>
      <w:r>
        <w:t>:</w:t>
      </w:r>
    </w:p>
    <w:p w14:paraId="3C9ED3C3" w14:textId="4D2FB5E6" w:rsidR="00B40170" w:rsidRDefault="00426DD2" w:rsidP="009E5C6C">
      <w:pPr>
        <w:pStyle w:val="Liste3"/>
      </w:pPr>
      <w:r>
        <w:lastRenderedPageBreak/>
        <w:t>Annexe 1 au CCAP : Clause d’insertion par l’activité économique (CIAE)</w:t>
      </w:r>
    </w:p>
    <w:p w14:paraId="22841BB4" w14:textId="0AA8CF99" w:rsidR="00426DD2" w:rsidRDefault="00426DD2" w:rsidP="00753A01">
      <w:pPr>
        <w:pStyle w:val="Liste"/>
        <w:spacing w:line="276" w:lineRule="auto"/>
      </w:pPr>
      <w:r>
        <w:t>Le cahier des clauses techniques particulières (CCTP)</w:t>
      </w:r>
      <w:r w:rsidR="009E5C6C">
        <w:t>, commun</w:t>
      </w:r>
      <w:r w:rsidR="009E5C6C" w:rsidRPr="009E5C6C">
        <w:t xml:space="preserve"> à tous les lots</w:t>
      </w:r>
      <w:r>
        <w:t xml:space="preserve"> </w:t>
      </w:r>
    </w:p>
    <w:p w14:paraId="41279604" w14:textId="5CE679B2" w:rsidR="00426DD2" w:rsidRDefault="00426DD2" w:rsidP="008B1C4D">
      <w:pPr>
        <w:pStyle w:val="Liste"/>
      </w:pPr>
      <w:r>
        <w:t>Le Bordereau des Prix Unitaires (BPU)</w:t>
      </w:r>
      <w:r w:rsidR="008B1C4D" w:rsidRPr="008B1C4D">
        <w:t xml:space="preserve"> (pour chacun des lots)</w:t>
      </w:r>
      <w:r>
        <w:t xml:space="preserve"> </w:t>
      </w:r>
    </w:p>
    <w:p w14:paraId="26B2F830" w14:textId="4D73AD4D" w:rsidR="00426DD2" w:rsidRDefault="00426DD2" w:rsidP="008B1C4D">
      <w:pPr>
        <w:pStyle w:val="Liste"/>
      </w:pPr>
      <w:r>
        <w:t>Le Détail Quantitatif Estimatif (DQE)</w:t>
      </w:r>
      <w:r w:rsidR="008B1C4D" w:rsidRPr="008B1C4D">
        <w:t xml:space="preserve"> (pour chacun des lots)</w:t>
      </w:r>
    </w:p>
    <w:p w14:paraId="3C18FEDE" w14:textId="77777777" w:rsidR="00426DD2" w:rsidRDefault="00426DD2" w:rsidP="00426DD2">
      <w:pPr>
        <w:spacing w:line="276" w:lineRule="auto"/>
      </w:pPr>
    </w:p>
    <w:p w14:paraId="25F64FA9" w14:textId="37EFB0B4" w:rsidR="00426DD2" w:rsidRDefault="00426DD2" w:rsidP="00426DD2">
      <w:pPr>
        <w:spacing w:line="276" w:lineRule="auto"/>
      </w:pPr>
      <w:r>
        <w:t xml:space="preserve">Les formulaires administratifs relatifs aux marchés publics (DC1, DC2…) et leurs notices explicatives sont gratuitement téléchargeables à l’adresse suivante : </w:t>
      </w:r>
    </w:p>
    <w:p w14:paraId="411AFF5D" w14:textId="77777777" w:rsidR="0013192B" w:rsidRDefault="0013192B" w:rsidP="00426DD2">
      <w:pPr>
        <w:spacing w:line="276" w:lineRule="auto"/>
      </w:pPr>
    </w:p>
    <w:p w14:paraId="2434FD2F" w14:textId="025C981D" w:rsidR="0013192B" w:rsidRDefault="0082178B" w:rsidP="00426DD2">
      <w:pPr>
        <w:spacing w:line="276" w:lineRule="auto"/>
      </w:pPr>
      <w:hyperlink r:id="rId14" w:history="1">
        <w:r w:rsidR="0013192B" w:rsidRPr="00835C4E">
          <w:rPr>
            <w:rStyle w:val="Lienhypertexte"/>
          </w:rPr>
          <w:t>https://www.economie.gouv.fr/daj/formulaires-declaration-du-candidat</w:t>
        </w:r>
      </w:hyperlink>
    </w:p>
    <w:p w14:paraId="4718881A" w14:textId="77777777" w:rsidR="0013192B" w:rsidRDefault="0013192B" w:rsidP="00426DD2">
      <w:pPr>
        <w:spacing w:line="276" w:lineRule="auto"/>
      </w:pPr>
    </w:p>
    <w:p w14:paraId="7E40889E" w14:textId="58D16DA1" w:rsidR="00426DD2" w:rsidRPr="00426DD2" w:rsidRDefault="0013192B" w:rsidP="00426DD2">
      <w:pPr>
        <w:spacing w:line="276" w:lineRule="auto"/>
      </w:pPr>
      <w:r>
        <w:t>Il est rappelé que l</w:t>
      </w:r>
      <w:r w:rsidR="00426DD2">
        <w:t>e Dét</w:t>
      </w:r>
      <w:r>
        <w:t>ail Quantitatif Estimatif (DQE)</w:t>
      </w:r>
      <w:r w:rsidR="00426DD2">
        <w:t xml:space="preserve"> </w:t>
      </w:r>
      <w:r>
        <w:t>n’est</w:t>
      </w:r>
      <w:r w:rsidR="00426DD2">
        <w:t xml:space="preserve"> pas contractuel</w:t>
      </w:r>
      <w:r>
        <w:t>. Ce document</w:t>
      </w:r>
      <w:r w:rsidR="00426DD2">
        <w:t xml:space="preserve"> ne sert qu’à l’appréciation des offres en phase de consultation.</w:t>
      </w:r>
    </w:p>
    <w:p w14:paraId="6942F56C" w14:textId="77777777" w:rsidR="00B040C7" w:rsidRPr="00D833CA" w:rsidRDefault="00793A66" w:rsidP="00B040C7">
      <w:pPr>
        <w:pStyle w:val="CSNETITRE2"/>
      </w:pPr>
      <w:bookmarkStart w:id="35" w:name="_Toc119173960"/>
      <w:r>
        <w:t>Modification de détail au dossier de consultation</w:t>
      </w:r>
      <w:bookmarkEnd w:id="35"/>
    </w:p>
    <w:p w14:paraId="48CE2113" w14:textId="77777777" w:rsidR="008B26D6" w:rsidRDefault="008B26D6" w:rsidP="008B26D6">
      <w:pPr>
        <w:spacing w:line="276" w:lineRule="auto"/>
      </w:pPr>
      <w:r>
        <w:t xml:space="preserve">Le Pouvoir Adjudicateur se réserve le droit d'apporter des modifications mineures au dossier de consultation. Celles-ci doivent être communiquées au plus tard </w:t>
      </w:r>
      <w:r w:rsidRPr="00914AB6">
        <w:rPr>
          <w:b/>
        </w:rPr>
        <w:t>six (6) jours calendaires</w:t>
      </w:r>
      <w:r>
        <w:t xml:space="preserve"> avant la date limite de réception des plis. </w:t>
      </w:r>
    </w:p>
    <w:p w14:paraId="26D7C4DF" w14:textId="77777777" w:rsidR="008B26D6" w:rsidRDefault="008B26D6" w:rsidP="008B26D6">
      <w:pPr>
        <w:spacing w:line="276" w:lineRule="auto"/>
      </w:pPr>
      <w:r>
        <w:t xml:space="preserve">Les candidats devront alors répondre sur la base du dossier modifié sans pouvoir élever aucune réclamation à ce sujet. </w:t>
      </w:r>
    </w:p>
    <w:p w14:paraId="3EA8793A" w14:textId="77777777" w:rsidR="00EE6E42" w:rsidRDefault="008B26D6" w:rsidP="00D833CA">
      <w:pPr>
        <w:spacing w:line="276" w:lineRule="auto"/>
      </w:pPr>
      <w:r>
        <w:t>Si pendant l’étude du dossier par les candidats, la date limite fixée pour la remise des offres est reportée, la disposition précédente est applicable en fonction de cette nouvelle date.</w:t>
      </w:r>
    </w:p>
    <w:p w14:paraId="603F7438" w14:textId="77777777" w:rsidR="00EE6E42" w:rsidRDefault="00EE6E42" w:rsidP="00D833CA">
      <w:pPr>
        <w:spacing w:line="276" w:lineRule="auto"/>
      </w:pPr>
    </w:p>
    <w:p w14:paraId="2BDB58FB" w14:textId="00CA1AE4" w:rsidR="00074E0A" w:rsidRDefault="00EE6E42" w:rsidP="008B2DE9">
      <w:pPr>
        <w:pStyle w:val="CSNETITRE1"/>
      </w:pPr>
      <w:bookmarkStart w:id="36" w:name="_Toc455761198"/>
      <w:bookmarkStart w:id="37" w:name="_Toc493059538"/>
      <w:bookmarkStart w:id="38" w:name="_Toc498417596"/>
      <w:bookmarkStart w:id="39" w:name="_Toc40286561"/>
      <w:r>
        <w:t xml:space="preserve"> </w:t>
      </w:r>
      <w:bookmarkStart w:id="40" w:name="_Toc119173961"/>
      <w:bookmarkEnd w:id="36"/>
      <w:bookmarkEnd w:id="37"/>
      <w:bookmarkEnd w:id="38"/>
      <w:bookmarkEnd w:id="39"/>
      <w:r w:rsidR="00074E0A" w:rsidRPr="00074E0A">
        <w:t>M</w:t>
      </w:r>
      <w:r w:rsidR="00833781">
        <w:t>odalités de transmission des plis et autres documents</w:t>
      </w:r>
      <w:bookmarkEnd w:id="40"/>
      <w:r w:rsidR="00833781">
        <w:t xml:space="preserve"> </w:t>
      </w:r>
    </w:p>
    <w:p w14:paraId="64765A31" w14:textId="77777777" w:rsidR="00833781" w:rsidRPr="00833781" w:rsidRDefault="00833781" w:rsidP="00833781"/>
    <w:p w14:paraId="4F1F1831" w14:textId="0B511C30" w:rsidR="00074E0A" w:rsidRDefault="00074E0A" w:rsidP="00074E0A">
      <w:r>
        <w:t xml:space="preserve">Au titre de chacun des lots, les candidats devront transmettre leur proposition contenant leur candidature et leur offre ainsi que tous autres documents exigés au cours de la procédure de consultation par voie électronique uniquement et ce via la plate-forme PLACE accessible à l’adresse : </w:t>
      </w:r>
      <w:hyperlink r:id="rId15" w:history="1">
        <w:r w:rsidRPr="00835C4E">
          <w:rPr>
            <w:rStyle w:val="Lienhypertexte"/>
          </w:rPr>
          <w:t>http://www.marches-publics.gouv.fr</w:t>
        </w:r>
      </w:hyperlink>
      <w:r>
        <w:t>.</w:t>
      </w:r>
    </w:p>
    <w:p w14:paraId="02A58E1E" w14:textId="77777777" w:rsidR="00074E0A" w:rsidRDefault="00074E0A" w:rsidP="00074E0A"/>
    <w:p w14:paraId="76EFFB2C" w14:textId="77777777" w:rsidR="00074E0A" w:rsidRDefault="00074E0A" w:rsidP="00074E0A">
      <w:r>
        <w:t>Les modalités pratiques de transmission par voie électronique sont décrites en Annexe n°1 au présent règlement de la consultation.</w:t>
      </w:r>
    </w:p>
    <w:p w14:paraId="4637408B" w14:textId="77777777" w:rsidR="00074E0A" w:rsidRDefault="00074E0A" w:rsidP="00074E0A"/>
    <w:p w14:paraId="07BEDDEE" w14:textId="16D360DA" w:rsidR="00074E0A" w:rsidRDefault="00074E0A" w:rsidP="00074E0A">
      <w:r>
        <w:t>Ces plis devront être déposés sur la plateforme PLACE au plus tard aux date et heure limites de remise des plis figurant sur la page de garde du présent document.</w:t>
      </w:r>
    </w:p>
    <w:p w14:paraId="24E7A50D" w14:textId="77777777" w:rsidR="00074E0A" w:rsidRPr="00074E0A" w:rsidRDefault="00074E0A" w:rsidP="00074E0A"/>
    <w:p w14:paraId="7D5A737D" w14:textId="5E55668C" w:rsidR="00354B89" w:rsidRDefault="0020040E" w:rsidP="00354B89">
      <w:pPr>
        <w:pStyle w:val="CSNETITRE1"/>
      </w:pPr>
      <w:bookmarkStart w:id="41" w:name="_Toc119173962"/>
      <w:r>
        <w:t>contenu de l’enveloppe unique</w:t>
      </w:r>
      <w:bookmarkEnd w:id="41"/>
    </w:p>
    <w:p w14:paraId="120D78E0" w14:textId="77777777" w:rsidR="008B26D6" w:rsidRDefault="008B26D6" w:rsidP="008B26D6">
      <w:pPr>
        <w:autoSpaceDE w:val="0"/>
        <w:autoSpaceDN w:val="0"/>
        <w:adjustRightInd w:val="0"/>
        <w:rPr>
          <w:b/>
        </w:rPr>
      </w:pPr>
    </w:p>
    <w:p w14:paraId="29E2E399" w14:textId="77777777" w:rsidR="008B26D6" w:rsidRPr="005611E5" w:rsidRDefault="008B26D6" w:rsidP="008B26D6">
      <w:pPr>
        <w:autoSpaceDE w:val="0"/>
        <w:autoSpaceDN w:val="0"/>
        <w:adjustRightInd w:val="0"/>
        <w:spacing w:line="276" w:lineRule="auto"/>
        <w:rPr>
          <w:b/>
        </w:rPr>
      </w:pPr>
      <w:r w:rsidRPr="005611E5">
        <w:rPr>
          <w:b/>
        </w:rPr>
        <w:t>Il est rappelé que le ou les signataires de l’</w:t>
      </w:r>
      <w:r>
        <w:rPr>
          <w:b/>
        </w:rPr>
        <w:t>A</w:t>
      </w:r>
      <w:r w:rsidRPr="005611E5">
        <w:rPr>
          <w:b/>
        </w:rPr>
        <w:t>cte d’</w:t>
      </w:r>
      <w:r>
        <w:rPr>
          <w:b/>
        </w:rPr>
        <w:t>E</w:t>
      </w:r>
      <w:r w:rsidRPr="005611E5">
        <w:rPr>
          <w:b/>
        </w:rPr>
        <w:t xml:space="preserve">ngagement </w:t>
      </w:r>
      <w:r>
        <w:rPr>
          <w:b/>
        </w:rPr>
        <w:t xml:space="preserve">et </w:t>
      </w:r>
      <w:r w:rsidRPr="005611E5">
        <w:rPr>
          <w:b/>
        </w:rPr>
        <w:t xml:space="preserve">des </w:t>
      </w:r>
      <w:r>
        <w:rPr>
          <w:b/>
        </w:rPr>
        <w:t xml:space="preserve">autres pièces demandées </w:t>
      </w:r>
      <w:r w:rsidRPr="005611E5">
        <w:rPr>
          <w:b/>
        </w:rPr>
        <w:t xml:space="preserve">doivent être habilités à engager le candidat. </w:t>
      </w:r>
      <w:r w:rsidRPr="00544092">
        <w:rPr>
          <w:b/>
        </w:rPr>
        <w:t xml:space="preserve">Le ou </w:t>
      </w:r>
      <w:r>
        <w:rPr>
          <w:b/>
        </w:rPr>
        <w:t xml:space="preserve">les signataires devront joindre impérativement les pouvoirs et </w:t>
      </w:r>
      <w:r w:rsidRPr="00544092">
        <w:rPr>
          <w:b/>
        </w:rPr>
        <w:t>délégations prévus à cet effet.</w:t>
      </w:r>
    </w:p>
    <w:p w14:paraId="00421D3B" w14:textId="77777777" w:rsidR="008B26D6" w:rsidRPr="008B26D6" w:rsidRDefault="008B26D6" w:rsidP="008B26D6">
      <w:pPr>
        <w:spacing w:line="276" w:lineRule="auto"/>
      </w:pPr>
      <w:r w:rsidRPr="00F5046F">
        <w:lastRenderedPageBreak/>
        <w:t>En cas de candidature groupée, lorsque le mandataire est habilité à signer l’offre du groupement, les habilitations nécessaires pour représenter les cotraitants membres du groupement doivent être jointes au dossier et mentionner l’autorisation donnée pour signer toutes pièces relatives à l’offre.</w:t>
      </w:r>
    </w:p>
    <w:p w14:paraId="03682034" w14:textId="77777777" w:rsidR="00354B89" w:rsidRPr="00D833CA" w:rsidRDefault="0020040E" w:rsidP="00354B89">
      <w:pPr>
        <w:pStyle w:val="CSNETITRE2"/>
      </w:pPr>
      <w:bookmarkStart w:id="42" w:name="_Toc119173963"/>
      <w:r>
        <w:t>Partie relative à la candidature</w:t>
      </w:r>
      <w:bookmarkEnd w:id="42"/>
    </w:p>
    <w:p w14:paraId="668CBD87" w14:textId="386F3A52" w:rsidR="00A57575" w:rsidRDefault="00A57575" w:rsidP="000258AD">
      <w:pPr>
        <w:spacing w:line="276" w:lineRule="auto"/>
      </w:pPr>
      <w:r w:rsidRPr="00A57575">
        <w:t>Les candidats peuvent présenter un dossier unique de candidature pour l’ensemble des lots. En cas de candidatures multiples, le candidat est ainsi autorisé à ne présenter qu’une fois les documents identiques. Lorsque les justificatifs diffèrent, il constitue néanmoins plusieurs dossiers ou complète distinctement les renseignements spécifiques à chaque lot (capacités financières, références, …).</w:t>
      </w:r>
    </w:p>
    <w:p w14:paraId="3E053776" w14:textId="77777777" w:rsidR="00A57575" w:rsidRDefault="00A57575" w:rsidP="000258AD">
      <w:pPr>
        <w:spacing w:line="276" w:lineRule="auto"/>
      </w:pPr>
    </w:p>
    <w:p w14:paraId="747E745A" w14:textId="5BF41638" w:rsidR="000258AD" w:rsidRDefault="000258AD" w:rsidP="000258AD">
      <w:pPr>
        <w:spacing w:line="276" w:lineRule="auto"/>
      </w:pPr>
      <w:r>
        <w:t>Le dossier de candidature comprendra l’ensemble des renseignements concernant la situation propre du candidat, les justificatifs quant aux conditions d’accès à la commande publique visés à l’article R2143-3 du Code de la commande publique ainsi que les renseignements et formalités nécessaires pour l’évaluation de la capacité professionnelle, technique et financière minimale requise.</w:t>
      </w:r>
    </w:p>
    <w:p w14:paraId="32428D0B" w14:textId="77777777" w:rsidR="000258AD" w:rsidRDefault="000258AD" w:rsidP="000258AD"/>
    <w:p w14:paraId="3E29ABA6" w14:textId="77777777" w:rsidR="000258AD" w:rsidRDefault="000258AD" w:rsidP="000258AD">
      <w:r>
        <w:t>Le dossier de candidature comprendra les pièces suivantes :</w:t>
      </w:r>
    </w:p>
    <w:p w14:paraId="5FAAD22C" w14:textId="77777777" w:rsidR="000258AD" w:rsidRDefault="000258AD" w:rsidP="000258AD"/>
    <w:p w14:paraId="374DDE24" w14:textId="77777777" w:rsidR="000258AD" w:rsidRDefault="000258AD" w:rsidP="000258AD">
      <w:r>
        <w:t>A.</w:t>
      </w:r>
      <w:r>
        <w:tab/>
      </w:r>
      <w:r w:rsidRPr="00A57575">
        <w:rPr>
          <w:b/>
        </w:rPr>
        <w:t>La lettre de candidature</w:t>
      </w:r>
      <w:r>
        <w:t xml:space="preserve"> et de désignation du mandataire par ses co-traitants modèle </w:t>
      </w:r>
      <w:r w:rsidRPr="00A57575">
        <w:rPr>
          <w:b/>
        </w:rPr>
        <w:t>DC1</w:t>
      </w:r>
      <w:r>
        <w:t xml:space="preserve"> dernier modèle mis à jour en avril 2019 (disponible gratuitement sur  https://www.economie.gouv.fr/daj/formulaires-declaration-du-candidat) avec le descriptif du candidat : Nom, adresse, personne à contacter et responsable du dossier, n° de téléphone, n° de télécopie, adresse mél. Le DC1 doit préciser clairement si le candidat se présente seul ou en groupement.</w:t>
      </w:r>
    </w:p>
    <w:p w14:paraId="59204134" w14:textId="77777777" w:rsidR="000258AD" w:rsidRDefault="000258AD" w:rsidP="000258AD"/>
    <w:p w14:paraId="414FE418" w14:textId="7991DE7D" w:rsidR="000258AD" w:rsidRDefault="000258AD" w:rsidP="000258AD">
      <w:r>
        <w:t>En cas de candidatures groupées :</w:t>
      </w:r>
    </w:p>
    <w:p w14:paraId="6C1166B5" w14:textId="77777777" w:rsidR="000258AD" w:rsidRDefault="000258AD" w:rsidP="000258AD"/>
    <w:p w14:paraId="30EE3E77" w14:textId="259DFB2A" w:rsidR="000258AD" w:rsidRDefault="000258AD" w:rsidP="000258AD">
      <w:pPr>
        <w:pStyle w:val="Liste"/>
      </w:pPr>
      <w:r>
        <w:t>Remplir une seule lettre de candidature pour le groupement, en précisant clairement le mandataire et les membres du groupement et la répartition des prestations.</w:t>
      </w:r>
    </w:p>
    <w:p w14:paraId="3EDF3B97" w14:textId="61B81AF8" w:rsidR="000258AD" w:rsidRDefault="000258AD" w:rsidP="000258AD">
      <w:pPr>
        <w:pStyle w:val="Liste"/>
      </w:pPr>
      <w:r>
        <w:t>Préciser la nature du groupement (conjoint ou solidaire).</w:t>
      </w:r>
    </w:p>
    <w:p w14:paraId="14FDD9F6" w14:textId="77777777" w:rsidR="000258AD" w:rsidRDefault="000258AD" w:rsidP="000258AD"/>
    <w:p w14:paraId="699F7E7E" w14:textId="77777777" w:rsidR="000258AD" w:rsidRDefault="000258AD" w:rsidP="000258AD">
      <w:r>
        <w:t>B.</w:t>
      </w:r>
      <w:r>
        <w:tab/>
      </w:r>
      <w:r w:rsidRPr="00A57575">
        <w:rPr>
          <w:b/>
        </w:rPr>
        <w:t>La déclaration du candidat</w:t>
      </w:r>
      <w:r>
        <w:t xml:space="preserve"> individuel ou du membre du groupement modèle </w:t>
      </w:r>
      <w:r w:rsidRPr="00A57575">
        <w:rPr>
          <w:b/>
        </w:rPr>
        <w:t xml:space="preserve">DC2 </w:t>
      </w:r>
      <w:r>
        <w:t xml:space="preserve">dernier modèle mis à jour en avril 2019 (disponible gratuitement sur https://www.economie.gouv.fr/daj/formulaires-declaration-du-candidat). </w:t>
      </w:r>
    </w:p>
    <w:p w14:paraId="26C49698" w14:textId="77777777" w:rsidR="000258AD" w:rsidRDefault="000258AD" w:rsidP="000258AD"/>
    <w:p w14:paraId="5ED2117F" w14:textId="77777777" w:rsidR="000258AD" w:rsidRDefault="000258AD" w:rsidP="000258AD">
      <w:r>
        <w:t>Le candidat qui souhaite répondre à plusieurs lots doit remplir un DC2 pour chaque lot.</w:t>
      </w:r>
    </w:p>
    <w:p w14:paraId="3BF60B88" w14:textId="77777777" w:rsidR="000258AD" w:rsidRDefault="000258AD" w:rsidP="000258AD"/>
    <w:p w14:paraId="69252470" w14:textId="77777777" w:rsidR="000258AD" w:rsidRDefault="000258AD" w:rsidP="000258AD">
      <w:r>
        <w:t xml:space="preserve">En cas de candidature groupée, il est rempli par chaque membre du groupement. </w:t>
      </w:r>
    </w:p>
    <w:p w14:paraId="50F3DA31" w14:textId="77777777" w:rsidR="000258AD" w:rsidRDefault="000258AD" w:rsidP="000258AD"/>
    <w:p w14:paraId="36066D28" w14:textId="77777777" w:rsidR="000258AD" w:rsidRDefault="000258AD" w:rsidP="000258AD">
      <w:r>
        <w:t>Le candidat complète les rubriques F et G, relatives aux capacités, en renseignant les points suivants :</w:t>
      </w:r>
    </w:p>
    <w:p w14:paraId="2F966BD4" w14:textId="77777777" w:rsidR="000258AD" w:rsidRDefault="000258AD" w:rsidP="000258AD"/>
    <w:p w14:paraId="38B364C1" w14:textId="1A73C3EE" w:rsidR="000258AD" w:rsidRDefault="000258AD" w:rsidP="00945963">
      <w:pPr>
        <w:pStyle w:val="Liste"/>
      </w:pPr>
      <w:r>
        <w:t>Au titre des capacités économiques et financières :</w:t>
      </w:r>
    </w:p>
    <w:p w14:paraId="552D178E" w14:textId="59D721A4" w:rsidR="000258AD" w:rsidRPr="00A24624" w:rsidRDefault="000258AD" w:rsidP="00027E6A">
      <w:pPr>
        <w:pStyle w:val="Liste3"/>
      </w:pPr>
      <w:r w:rsidRPr="00A24624">
        <w:t>Déclaration concernant le chiffre d'affaires global</w:t>
      </w:r>
      <w:r w:rsidR="0021012C">
        <w:t>, réalisé</w:t>
      </w:r>
      <w:r w:rsidRPr="00A24624">
        <w:t xml:space="preserve"> au cours des trois derniers exercices disponibles (cf. </w:t>
      </w:r>
      <w:r w:rsidR="0021012C">
        <w:fldChar w:fldCharType="begin"/>
      </w:r>
      <w:r w:rsidR="0021012C">
        <w:instrText xml:space="preserve"> REF _Ref118996883 \r \h </w:instrText>
      </w:r>
      <w:r w:rsidR="0021012C">
        <w:fldChar w:fldCharType="separate"/>
      </w:r>
      <w:r w:rsidR="0021012C">
        <w:t>7.1.2</w:t>
      </w:r>
      <w:r w:rsidR="0021012C">
        <w:fldChar w:fldCharType="end"/>
      </w:r>
      <w:r w:rsidRPr="00A24624">
        <w:t xml:space="preserve"> « Niveaux minimums de capacité requis » ci-dessous) ; </w:t>
      </w:r>
      <w:bookmarkStart w:id="43" w:name="_GoBack"/>
      <w:bookmarkEnd w:id="43"/>
    </w:p>
    <w:p w14:paraId="5AA5D4F3" w14:textId="77777777" w:rsidR="000258AD" w:rsidRDefault="000258AD" w:rsidP="000258AD"/>
    <w:p w14:paraId="26E756E1" w14:textId="65C67339" w:rsidR="000258AD" w:rsidRDefault="000258AD" w:rsidP="00A24624">
      <w:pPr>
        <w:pStyle w:val="Liste"/>
      </w:pPr>
      <w:r>
        <w:t>Au titre des capacités professionnelles :</w:t>
      </w:r>
    </w:p>
    <w:p w14:paraId="13FCBF19" w14:textId="5BFF9C73" w:rsidR="000258AD" w:rsidRPr="00180706" w:rsidRDefault="000258AD" w:rsidP="001D1D3F">
      <w:pPr>
        <w:pStyle w:val="Liste3"/>
      </w:pPr>
      <w:r w:rsidRPr="00180706">
        <w:t>Présentation d’une liste des principales références effectuées au cours des</w:t>
      </w:r>
      <w:r w:rsidR="001F03B5">
        <w:t xml:space="preserve"> 3 à</w:t>
      </w:r>
      <w:r w:rsidRPr="00180706">
        <w:t xml:space="preserve"> </w:t>
      </w:r>
      <w:r w:rsidR="00180706">
        <w:t>10</w:t>
      </w:r>
      <w:r w:rsidRPr="00180706">
        <w:t xml:space="preserve"> dernières années pour des prestations comparables (cf. </w:t>
      </w:r>
      <w:r w:rsidR="008D3EF7">
        <w:fldChar w:fldCharType="begin"/>
      </w:r>
      <w:r w:rsidR="008D3EF7">
        <w:instrText xml:space="preserve"> REF _Ref118999691 \r \h </w:instrText>
      </w:r>
      <w:r w:rsidR="008D3EF7">
        <w:fldChar w:fldCharType="separate"/>
      </w:r>
      <w:r w:rsidR="008D3EF7">
        <w:t>7.1.3</w:t>
      </w:r>
      <w:r w:rsidR="008D3EF7">
        <w:fldChar w:fldCharType="end"/>
      </w:r>
      <w:r w:rsidRPr="00180706">
        <w:t xml:space="preserve"> §  « Niveaux minimums de capacité requis » ci-dessous) ;</w:t>
      </w:r>
      <w:r w:rsidR="00267E08">
        <w:t xml:space="preserve"> </w:t>
      </w:r>
      <w:r w:rsidR="00D0137C">
        <w:t>l</w:t>
      </w:r>
      <w:r w:rsidR="00267E08" w:rsidRPr="00267E08">
        <w:t>es candidats présenteront</w:t>
      </w:r>
      <w:r w:rsidR="00D0137C">
        <w:t xml:space="preserve"> cette liste</w:t>
      </w:r>
      <w:r w:rsidR="00267E08" w:rsidRPr="00267E08">
        <w:t xml:space="preserve"> en complétant l’annexe </w:t>
      </w:r>
      <w:r w:rsidR="00267E08">
        <w:t>1</w:t>
      </w:r>
      <w:r w:rsidR="00267E08" w:rsidRPr="00267E08">
        <w:t xml:space="preserve"> au présent RC ; ces références do</w:t>
      </w:r>
      <w:r w:rsidR="00D0137C">
        <w:t>ivent indiquer l’objet de la référence</w:t>
      </w:r>
      <w:r w:rsidR="001D1D3F">
        <w:t xml:space="preserve"> (les missions effectuées au sein de cette référence en </w:t>
      </w:r>
      <w:r w:rsidR="001D1D3F" w:rsidRPr="001D1D3F">
        <w:t>cas de référence réalisée par plusieurs opérateurs économiques</w:t>
      </w:r>
      <w:r w:rsidR="00267E08" w:rsidRPr="00267E08">
        <w:t>,</w:t>
      </w:r>
      <w:r w:rsidR="001D1D3F">
        <w:t xml:space="preserve"> </w:t>
      </w:r>
      <w:r w:rsidR="001D1D3F" w:rsidRPr="001D1D3F">
        <w:t xml:space="preserve"> </w:t>
      </w:r>
      <w:r w:rsidR="00D0137C">
        <w:t>son</w:t>
      </w:r>
      <w:r w:rsidR="00267E08" w:rsidRPr="00267E08">
        <w:t xml:space="preserve"> montant </w:t>
      </w:r>
      <w:r w:rsidR="00D0137C">
        <w:t>(</w:t>
      </w:r>
      <w:r w:rsidR="00267E08" w:rsidRPr="00267E08">
        <w:t>ainsi que la part affectée au candidat</w:t>
      </w:r>
      <w:r w:rsidR="001D1D3F">
        <w:t xml:space="preserve"> en cas de référence</w:t>
      </w:r>
      <w:r w:rsidR="00D0137C">
        <w:t xml:space="preserve"> </w:t>
      </w:r>
      <w:r w:rsidR="001D1D3F">
        <w:t>réalisée par plusieurs opérateurs économiques)</w:t>
      </w:r>
      <w:r w:rsidR="00267E08" w:rsidRPr="00267E08">
        <w:t>, la date (période d’exécution de la mission)</w:t>
      </w:r>
      <w:r w:rsidR="001D1D3F">
        <w:t>,</w:t>
      </w:r>
      <w:r w:rsidR="00267E08" w:rsidRPr="00267E08">
        <w:t xml:space="preserve"> et le destinataire</w:t>
      </w:r>
      <w:r w:rsidR="001D1D3F">
        <w:t xml:space="preserve"> public ou privé </w:t>
      </w:r>
      <w:r w:rsidR="00267E08" w:rsidRPr="00267E08">
        <w:t>;</w:t>
      </w:r>
      <w:r w:rsidR="007046E9">
        <w:t xml:space="preserve"> </w:t>
      </w:r>
      <w:r w:rsidR="001D1D3F">
        <w:t>elles</w:t>
      </w:r>
      <w:r w:rsidR="00267E08" w:rsidRPr="00267E08">
        <w:t xml:space="preserve"> sont prouvées par des attestations du destinataire ou, à défaut, par une déclaration du candidat ;</w:t>
      </w:r>
    </w:p>
    <w:p w14:paraId="798F51AD" w14:textId="3B6DFFA2" w:rsidR="000258AD" w:rsidRDefault="000258AD" w:rsidP="00180706"/>
    <w:p w14:paraId="038227D5" w14:textId="3A7DF5A7" w:rsidR="00380AE6" w:rsidRDefault="00380AE6" w:rsidP="00380AE6">
      <w:pPr>
        <w:pStyle w:val="Liste"/>
      </w:pPr>
      <w:r>
        <w:t>Au titre des capacités techniques :</w:t>
      </w:r>
    </w:p>
    <w:p w14:paraId="0A3D4B98" w14:textId="4F3D24C2" w:rsidR="000258AD" w:rsidRDefault="000258AD" w:rsidP="00380AE6">
      <w:pPr>
        <w:pStyle w:val="Liste3"/>
      </w:pPr>
      <w:r>
        <w:t>Déclaration indiquant les effectifs moyens annuels du candidat et l'importance du personnel d'encadrement pour chacune des troi</w:t>
      </w:r>
      <w:r w:rsidR="008D1364">
        <w:t>s dernières années disponibles.</w:t>
      </w:r>
    </w:p>
    <w:p w14:paraId="791EC4EC" w14:textId="77777777" w:rsidR="000258AD" w:rsidRDefault="000258AD" w:rsidP="000258AD"/>
    <w:p w14:paraId="2C7582A7" w14:textId="77777777" w:rsidR="000258AD" w:rsidRDefault="000258AD" w:rsidP="000258AD">
      <w:r>
        <w:t>C.</w:t>
      </w:r>
      <w:r>
        <w:tab/>
      </w:r>
      <w:r w:rsidRPr="008D1364">
        <w:rPr>
          <w:b/>
        </w:rPr>
        <w:t>Capacités d’opérateurs économiques tiers</w:t>
      </w:r>
    </w:p>
    <w:p w14:paraId="0CB9C4B5" w14:textId="77777777" w:rsidR="008D1364" w:rsidRDefault="008D1364" w:rsidP="000258AD"/>
    <w:p w14:paraId="33221051" w14:textId="35049AF7" w:rsidR="000258AD" w:rsidRDefault="000258AD" w:rsidP="000258AD">
      <w:r>
        <w:t>Pour justifier des capacités professionnelles, techniques et financières d’autres opérateurs économiques sur lesquels il s’appuie pour présenter sa candidature au sens des articles R2142-3, R2143-11 et R2143-12 du Code de la commande publique, le candidat :</w:t>
      </w:r>
    </w:p>
    <w:p w14:paraId="3CD8D07D" w14:textId="2F881EB9" w:rsidR="000258AD" w:rsidRDefault="000258AD" w:rsidP="008D1364">
      <w:pPr>
        <w:pStyle w:val="Liste"/>
      </w:pPr>
      <w:r>
        <w:t>produit les mêmes documents concernant cet opérateur économique que ceux qui lui sont exigés par le Pouvoir Adjudicateur (à l’exception du formulaire DC1) y compris une déclaration indiquant que cet opérateur économique ne tombe pas sous le coup d’une interdiction de soumissionner ;</w:t>
      </w:r>
    </w:p>
    <w:p w14:paraId="64C315D0" w14:textId="05FA646E" w:rsidR="000258AD" w:rsidRDefault="000258AD" w:rsidP="008D1364">
      <w:pPr>
        <w:pStyle w:val="Liste"/>
      </w:pPr>
      <w:r>
        <w:t xml:space="preserve">apporte la preuve, par tout moyen approprié et notamment par la production d’une attestation, qu’il disposera bien des capacités des opérateurs sur lesquels il s’appuie pour l’exécution du marché / de l’accord-cadre. </w:t>
      </w:r>
    </w:p>
    <w:p w14:paraId="2B28B491" w14:textId="1A3C5E44" w:rsidR="000258AD" w:rsidRDefault="000258AD" w:rsidP="008D1364">
      <w:pPr>
        <w:pStyle w:val="Liste"/>
      </w:pPr>
      <w:r>
        <w:t>En cas de sous-traitance déclarée au moment de la candidature, le pli contiendra a minima une attestation dudit sous-traitant par laquelle celui-ci s’engage à apporter toutes ses compétences et moyens à la bonne réalisation du marché / de l’accord-cadre dans la limite des prestations qui lui seront confiées par le candidat ; à l’appui de son offre, le candidat fournira les déclarations de sous-traitance correspondantes établies selon le formulaire DC4.</w:t>
      </w:r>
    </w:p>
    <w:p w14:paraId="18F913C6" w14:textId="77777777" w:rsidR="007046E9" w:rsidRDefault="007046E9" w:rsidP="007046E9">
      <w:pPr>
        <w:pStyle w:val="Liste"/>
        <w:numPr>
          <w:ilvl w:val="0"/>
          <w:numId w:val="0"/>
        </w:numPr>
        <w:ind w:left="737"/>
      </w:pPr>
    </w:p>
    <w:p w14:paraId="53A3D6A5" w14:textId="5ED6F808" w:rsidR="000258AD" w:rsidRPr="007046E9" w:rsidRDefault="000258AD" w:rsidP="000258AD">
      <w:pPr>
        <w:rPr>
          <w:b/>
        </w:rPr>
      </w:pPr>
      <w:r>
        <w:t>D.</w:t>
      </w:r>
      <w:r>
        <w:tab/>
      </w:r>
      <w:r w:rsidRPr="007046E9">
        <w:rPr>
          <w:b/>
        </w:rPr>
        <w:t>Dispositions particulières</w:t>
      </w:r>
    </w:p>
    <w:p w14:paraId="77F628A3" w14:textId="77777777" w:rsidR="007046E9" w:rsidRDefault="007046E9" w:rsidP="000258AD"/>
    <w:p w14:paraId="4F6E6C14" w14:textId="1629B7D4" w:rsidR="000258AD" w:rsidRDefault="000258AD" w:rsidP="007046E9">
      <w:pPr>
        <w:pStyle w:val="Liste"/>
      </w:pPr>
      <w:r>
        <w:t>Si le candidat est objectivement dans l’impossibilité de produire, pour justifier de ses capacités, l’un des renseignements ou documents demandés ci-dessus, il peut prouver sa capacité par tout autre document considéré comme équivalent par le Pouvoir Adjudicateur ;</w:t>
      </w:r>
    </w:p>
    <w:p w14:paraId="5A3529EF" w14:textId="5D89387E" w:rsidR="000258AD" w:rsidRDefault="000258AD" w:rsidP="007046E9">
      <w:pPr>
        <w:pStyle w:val="Liste"/>
      </w:pPr>
      <w:r>
        <w:t>En cas de candidature incomplète, le Pouvoir Adjudicateur peut décider de demander à l’ensemble des candidats ayant déposé une candidature incomplète de la compléter dans les conditions de l’article R2144-2 du Code de la commande publique ;</w:t>
      </w:r>
    </w:p>
    <w:p w14:paraId="44969A87" w14:textId="137BC3F5" w:rsidR="000258AD" w:rsidRDefault="000258AD" w:rsidP="00A84B1D">
      <w:pPr>
        <w:pStyle w:val="Liste"/>
      </w:pPr>
      <w:r>
        <w:lastRenderedPageBreak/>
        <w:t>Les entreprises établies à l’étranger produisent les documents équivalents délivrés par les autorités compétentes de leur pays d’origine accompagnés d’une traduction en langue française</w:t>
      </w:r>
      <w:r w:rsidR="00A84B1D">
        <w:t> </w:t>
      </w:r>
      <w:r>
        <w:t>;</w:t>
      </w:r>
    </w:p>
    <w:p w14:paraId="26E277E6" w14:textId="7BA22359" w:rsidR="000258AD" w:rsidRDefault="000258AD" w:rsidP="00A84B1D">
      <w:pPr>
        <w:pStyle w:val="Liste"/>
      </w:pPr>
      <w:r>
        <w:t>Le Pouvoir Adjudicateur accepte les candidatures présentées sous forme d’un document unique de marché européen établi conformément au modèle fixé par règlement de la Commission européenne (cf. le service DUME : https://www.economie.gouv.fr/daj/dume-espd%23block-system-main et https://dume.chorus-pro.gouv.fr/), sous réserve que celui-ci comprenne l’ensemble des informations ci-dessus requises.</w:t>
      </w:r>
    </w:p>
    <w:p w14:paraId="175C556D" w14:textId="77777777" w:rsidR="000258AD" w:rsidRDefault="000258AD" w:rsidP="0002682A"/>
    <w:p w14:paraId="39B868DC" w14:textId="77777777" w:rsidR="00354B89" w:rsidRPr="00D833CA" w:rsidRDefault="001154D5" w:rsidP="00354B89">
      <w:pPr>
        <w:pStyle w:val="CSNETITRE2"/>
      </w:pPr>
      <w:bookmarkStart w:id="44" w:name="_Toc119173964"/>
      <w:r>
        <w:t>P</w:t>
      </w:r>
      <w:r w:rsidR="0020040E">
        <w:t>artie relative à l’offre</w:t>
      </w:r>
      <w:bookmarkEnd w:id="44"/>
      <w:r>
        <w:t xml:space="preserve"> </w:t>
      </w:r>
    </w:p>
    <w:p w14:paraId="729B8860" w14:textId="77777777" w:rsidR="00287C34" w:rsidRPr="00B8020F" w:rsidRDefault="00287C34" w:rsidP="004F0B13">
      <w:r w:rsidRPr="00B8020F">
        <w:t>Le candidat remet</w:t>
      </w:r>
      <w:r>
        <w:t>tra</w:t>
      </w:r>
      <w:r w:rsidRPr="00B8020F">
        <w:t xml:space="preserve"> un projet de marché comprenant les pièces ci-dessous :</w:t>
      </w:r>
    </w:p>
    <w:p w14:paraId="53CBBD84" w14:textId="77777777" w:rsidR="00287C34" w:rsidRPr="00216307" w:rsidRDefault="00287C34" w:rsidP="00287C34">
      <w:pPr>
        <w:pStyle w:val="SETECTextepuce1"/>
        <w:numPr>
          <w:ilvl w:val="0"/>
          <w:numId w:val="0"/>
        </w:numPr>
        <w:ind w:left="227"/>
        <w:rPr>
          <w:color w:val="404040" w:themeColor="text1" w:themeTint="BF"/>
          <w:sz w:val="6"/>
        </w:rPr>
      </w:pPr>
    </w:p>
    <w:p w14:paraId="4A32477F" w14:textId="24A08F5C" w:rsidR="00287C34" w:rsidRPr="00B8249F" w:rsidRDefault="00287C34" w:rsidP="00E2756A">
      <w:pPr>
        <w:numPr>
          <w:ilvl w:val="0"/>
          <w:numId w:val="19"/>
        </w:numPr>
        <w:spacing w:before="80" w:after="80" w:line="276" w:lineRule="auto"/>
      </w:pPr>
      <w:r w:rsidRPr="00B8249F">
        <w:rPr>
          <w:szCs w:val="20"/>
        </w:rPr>
        <w:t>un</w:t>
      </w:r>
      <w:r w:rsidRPr="00B8249F">
        <w:rPr>
          <w:b/>
          <w:szCs w:val="20"/>
        </w:rPr>
        <w:t xml:space="preserve"> Acte d’Engagement (AE)</w:t>
      </w:r>
      <w:r w:rsidR="00E2756A" w:rsidRPr="00E2756A">
        <w:t xml:space="preserve"> </w:t>
      </w:r>
      <w:r w:rsidR="00E2756A" w:rsidRPr="00E2756A">
        <w:rPr>
          <w:b/>
          <w:szCs w:val="20"/>
        </w:rPr>
        <w:t>(pour chacun des lots)</w:t>
      </w:r>
      <w:r w:rsidRPr="00B8249F">
        <w:rPr>
          <w:szCs w:val="20"/>
        </w:rPr>
        <w:t>, cadre ci-joi</w:t>
      </w:r>
      <w:r>
        <w:rPr>
          <w:szCs w:val="20"/>
        </w:rPr>
        <w:t xml:space="preserve">nt à compléter, dater et signer </w:t>
      </w:r>
      <w:r w:rsidRPr="00216307">
        <w:rPr>
          <w:szCs w:val="20"/>
        </w:rPr>
        <w:t>par la</w:t>
      </w:r>
      <w:r w:rsidRPr="00216307">
        <w:rPr>
          <w:rFonts w:eastAsia="SimSun"/>
          <w:lang w:eastAsia="zh-CN"/>
        </w:rPr>
        <w:t xml:space="preserve"> personne dûment habilitée</w:t>
      </w:r>
      <w:r>
        <w:rPr>
          <w:rFonts w:eastAsia="SimSun"/>
          <w:lang w:eastAsia="zh-CN"/>
        </w:rPr>
        <w:t>,</w:t>
      </w:r>
      <w:r w:rsidRPr="00216307">
        <w:rPr>
          <w:rFonts w:eastAsia="SimSun"/>
          <w:lang w:eastAsia="zh-CN"/>
        </w:rPr>
        <w:t xml:space="preserve"> en original à l’emplacement prévu, avec la mention lisible des nom, prénom et qualité du signataire, revêtu du cachet de l’entreprise ; toutefois, l’absence de signature conforme de l’Acte d’Engagement ne rend pas l’offre du candidat irrégulière. En cas de signature non conforme, scannée ou en cas d’absence de signature, il sera demandé à l’attributaire de signer l’Acte d’Engagement ; </w:t>
      </w:r>
    </w:p>
    <w:p w14:paraId="05EDA51D" w14:textId="77777777" w:rsidR="00287C34" w:rsidRPr="00F5046F" w:rsidRDefault="00287C34" w:rsidP="00287C34">
      <w:pPr>
        <w:ind w:left="708"/>
      </w:pPr>
      <w:r w:rsidRPr="00F5046F">
        <w:t>Le nom de la personne physique ayant qualité pour représenter l</w:t>
      </w:r>
      <w:r>
        <w:t>e titulaire</w:t>
      </w:r>
      <w:r w:rsidRPr="00F5046F">
        <w:t xml:space="preserve"> vis-à-vis du Pouvoir Adjudicateur pour l’exécution </w:t>
      </w:r>
      <w:r>
        <w:t>du marché</w:t>
      </w:r>
      <w:r w:rsidRPr="00F5046F">
        <w:t xml:space="preserve"> </w:t>
      </w:r>
      <w:r>
        <w:t xml:space="preserve">public </w:t>
      </w:r>
      <w:r w:rsidRPr="00F5046F">
        <w:t>est indiqué dans l’</w:t>
      </w:r>
      <w:r>
        <w:t>A</w:t>
      </w:r>
      <w:r w:rsidRPr="00F5046F">
        <w:t>cte d’</w:t>
      </w:r>
      <w:r>
        <w:t>E</w:t>
      </w:r>
      <w:r w:rsidRPr="00F5046F">
        <w:t>ngagement. Celle-ci doit être habilitée à engager l’entreprise ou le groupement d’entreprises et fournir l’ensemble des pouvoirs et délégations en attestant (dossier à joindre à l’appui de l’AE).</w:t>
      </w:r>
    </w:p>
    <w:p w14:paraId="08E3F213" w14:textId="2FF797D9" w:rsidR="00287C34" w:rsidRPr="00944CE3" w:rsidRDefault="00144EDC" w:rsidP="00144EDC">
      <w:pPr>
        <w:spacing w:before="80" w:after="80" w:line="276" w:lineRule="auto"/>
        <w:ind w:left="720"/>
        <w:rPr>
          <w:b/>
          <w:szCs w:val="20"/>
        </w:rPr>
      </w:pPr>
      <w:r>
        <w:rPr>
          <w:b/>
          <w:szCs w:val="20"/>
        </w:rPr>
        <w:t>L</w:t>
      </w:r>
      <w:r w:rsidR="00287C34">
        <w:rPr>
          <w:b/>
          <w:szCs w:val="20"/>
        </w:rPr>
        <w:t>es a</w:t>
      </w:r>
      <w:r w:rsidR="00287C34" w:rsidRPr="00944CE3">
        <w:rPr>
          <w:b/>
          <w:szCs w:val="20"/>
        </w:rPr>
        <w:t>nnexes à l’Acte d’Engagement (AE)</w:t>
      </w:r>
      <w:r w:rsidR="00E2756A" w:rsidRPr="00E2756A">
        <w:t xml:space="preserve"> </w:t>
      </w:r>
      <w:r w:rsidR="00E2756A" w:rsidRPr="00E2756A">
        <w:rPr>
          <w:b/>
          <w:szCs w:val="20"/>
        </w:rPr>
        <w:t>(pour chacun des lots)</w:t>
      </w:r>
      <w:r w:rsidR="00287C34" w:rsidRPr="00944CE3">
        <w:rPr>
          <w:b/>
          <w:szCs w:val="20"/>
        </w:rPr>
        <w:t> :</w:t>
      </w:r>
    </w:p>
    <w:p w14:paraId="2BCA80A5" w14:textId="77777777" w:rsidR="00287C34" w:rsidRPr="00432C8B" w:rsidRDefault="00287C34" w:rsidP="00287C34">
      <w:pPr>
        <w:spacing w:before="60" w:after="60"/>
        <w:ind w:left="709" w:hanging="1"/>
        <w:contextualSpacing/>
      </w:pPr>
      <w:r w:rsidRPr="00F5046F">
        <w:t xml:space="preserve">Annexe 1 : </w:t>
      </w:r>
      <w:r w:rsidRPr="00C81A16">
        <w:t>cadre de nantissement ou cession de créances ;</w:t>
      </w:r>
    </w:p>
    <w:p w14:paraId="12B60732" w14:textId="77777777" w:rsidR="00287C34" w:rsidRPr="00F5046F" w:rsidRDefault="00287C34" w:rsidP="00287C34">
      <w:pPr>
        <w:spacing w:before="60" w:after="60"/>
        <w:ind w:left="709" w:hanging="1"/>
        <w:contextualSpacing/>
      </w:pPr>
      <w:r w:rsidRPr="00C81A16">
        <w:t xml:space="preserve">Annexe 2 : déclaration(s) de sous-traitance établie(s) au moyen du formulaire DC4, datée(s) et signée(s) par la personne dûment habilitée avec la mention lisible de ses nom, prénom et qualité (en cas de sous-traitance déclarée au moment de l’offre, le pli contient autant de sous-dossiers que de sous-traitants déclarés) ; </w:t>
      </w:r>
    </w:p>
    <w:p w14:paraId="6C3EC70D" w14:textId="77777777" w:rsidR="00287C34" w:rsidRDefault="00287C34" w:rsidP="00287C34">
      <w:pPr>
        <w:spacing w:before="60" w:after="60"/>
        <w:ind w:left="709" w:hanging="1"/>
        <w:contextualSpacing/>
      </w:pPr>
      <w:r w:rsidRPr="00F5046F">
        <w:t xml:space="preserve">Annexe </w:t>
      </w:r>
      <w:r>
        <w:t>3</w:t>
      </w:r>
      <w:r w:rsidRPr="00F5046F">
        <w:t xml:space="preserve"> : </w:t>
      </w:r>
      <w:r w:rsidRPr="00C81A16">
        <w:t>répartition des prestations par cotraitants, à compléter, dater et signer par la personne dûment habilitée avec la mention lisible de ses nom, prénom et qualité ;</w:t>
      </w:r>
    </w:p>
    <w:p w14:paraId="3F673F46" w14:textId="77777777" w:rsidR="00C81A16" w:rsidRPr="00C81A16" w:rsidRDefault="00C81A16" w:rsidP="00C81A16">
      <w:pPr>
        <w:spacing w:before="60" w:after="60" w:line="276" w:lineRule="auto"/>
        <w:ind w:left="709" w:hanging="1"/>
        <w:contextualSpacing/>
      </w:pPr>
      <w:r w:rsidRPr="00C81A16">
        <w:t>Annexe 4 : modèle de charte de confidentialité du projet Canal Seine-Nord Europe ;</w:t>
      </w:r>
    </w:p>
    <w:p w14:paraId="76F33C83" w14:textId="77777777" w:rsidR="00144EDC" w:rsidRPr="00EC1513" w:rsidRDefault="00144EDC" w:rsidP="00287C34">
      <w:pPr>
        <w:spacing w:before="60" w:after="60"/>
        <w:ind w:left="709" w:hanging="1"/>
        <w:contextualSpacing/>
      </w:pPr>
    </w:p>
    <w:p w14:paraId="6C6576DB" w14:textId="008CC054" w:rsidR="00287C34" w:rsidRPr="00944CE3" w:rsidRDefault="00287C34" w:rsidP="00CA47DB">
      <w:pPr>
        <w:numPr>
          <w:ilvl w:val="0"/>
          <w:numId w:val="19"/>
        </w:numPr>
        <w:spacing w:before="80" w:after="80" w:line="276" w:lineRule="auto"/>
        <w:rPr>
          <w:b/>
          <w:szCs w:val="20"/>
        </w:rPr>
      </w:pPr>
      <w:r>
        <w:rPr>
          <w:szCs w:val="20"/>
        </w:rPr>
        <w:t>un</w:t>
      </w:r>
      <w:r w:rsidRPr="00944CE3">
        <w:rPr>
          <w:szCs w:val="20"/>
        </w:rPr>
        <w:t xml:space="preserve"> </w:t>
      </w:r>
      <w:r>
        <w:rPr>
          <w:b/>
          <w:szCs w:val="20"/>
        </w:rPr>
        <w:t>B</w:t>
      </w:r>
      <w:r w:rsidRPr="00944CE3">
        <w:rPr>
          <w:b/>
          <w:szCs w:val="20"/>
        </w:rPr>
        <w:t xml:space="preserve">ordereau des </w:t>
      </w:r>
      <w:r>
        <w:rPr>
          <w:b/>
          <w:szCs w:val="20"/>
        </w:rPr>
        <w:t>Prix Unitaires (BPU)</w:t>
      </w:r>
      <w:r w:rsidR="00CA47DB">
        <w:rPr>
          <w:b/>
          <w:szCs w:val="20"/>
        </w:rPr>
        <w:t xml:space="preserve"> </w:t>
      </w:r>
      <w:r w:rsidR="00CA47DB" w:rsidRPr="00CA47DB">
        <w:rPr>
          <w:b/>
          <w:szCs w:val="20"/>
        </w:rPr>
        <w:t>(pour chacun des lots)</w:t>
      </w:r>
      <w:r>
        <w:rPr>
          <w:b/>
          <w:szCs w:val="20"/>
        </w:rPr>
        <w:t xml:space="preserve"> </w:t>
      </w:r>
      <w:r w:rsidRPr="005857AD">
        <w:rPr>
          <w:rFonts w:cs="Arial"/>
          <w:szCs w:val="20"/>
        </w:rPr>
        <w:t>à compléter</w:t>
      </w:r>
      <w:r w:rsidRPr="00944CE3">
        <w:rPr>
          <w:rFonts w:ascii="Arial" w:hAnsi="Arial" w:cs="Arial"/>
          <w:szCs w:val="20"/>
        </w:rPr>
        <w:t xml:space="preserve"> ;</w:t>
      </w:r>
    </w:p>
    <w:p w14:paraId="0B8DA6C6" w14:textId="4DB52BC4" w:rsidR="00287C34" w:rsidRPr="008F04A2" w:rsidRDefault="00287C34" w:rsidP="00CA47DB">
      <w:pPr>
        <w:numPr>
          <w:ilvl w:val="0"/>
          <w:numId w:val="19"/>
        </w:numPr>
        <w:spacing w:before="80" w:after="80" w:line="276" w:lineRule="auto"/>
        <w:rPr>
          <w:b/>
          <w:szCs w:val="20"/>
        </w:rPr>
      </w:pPr>
      <w:r>
        <w:rPr>
          <w:szCs w:val="20"/>
        </w:rPr>
        <w:t>un</w:t>
      </w:r>
      <w:r w:rsidRPr="00944CE3">
        <w:rPr>
          <w:szCs w:val="20"/>
        </w:rPr>
        <w:t xml:space="preserve"> </w:t>
      </w:r>
      <w:r>
        <w:rPr>
          <w:b/>
          <w:szCs w:val="20"/>
        </w:rPr>
        <w:t xml:space="preserve">Détail Quantitatif Estimatif (DQE) </w:t>
      </w:r>
      <w:r w:rsidR="00CA47DB" w:rsidRPr="00CA47DB">
        <w:rPr>
          <w:b/>
          <w:szCs w:val="20"/>
        </w:rPr>
        <w:t>(pour chacun des lots)</w:t>
      </w:r>
      <w:r w:rsidR="00CA47DB">
        <w:rPr>
          <w:b/>
          <w:szCs w:val="20"/>
        </w:rPr>
        <w:t xml:space="preserve"> </w:t>
      </w:r>
      <w:r w:rsidRPr="005857AD">
        <w:rPr>
          <w:rFonts w:cs="Arial"/>
          <w:szCs w:val="20"/>
        </w:rPr>
        <w:t>à compléter</w:t>
      </w:r>
      <w:r w:rsidRPr="00944CE3">
        <w:rPr>
          <w:rFonts w:ascii="Arial" w:hAnsi="Arial" w:cs="Arial"/>
          <w:szCs w:val="20"/>
        </w:rPr>
        <w:t xml:space="preserve"> ;</w:t>
      </w:r>
    </w:p>
    <w:p w14:paraId="57CFAA8A" w14:textId="4E613502" w:rsidR="003244D6" w:rsidRDefault="00287C34" w:rsidP="00CA47DB">
      <w:pPr>
        <w:pStyle w:val="Paragraphedeliste"/>
        <w:numPr>
          <w:ilvl w:val="0"/>
          <w:numId w:val="19"/>
        </w:numPr>
        <w:rPr>
          <w:sz w:val="22"/>
        </w:rPr>
      </w:pPr>
      <w:r w:rsidRPr="001216C3">
        <w:rPr>
          <w:sz w:val="22"/>
        </w:rPr>
        <w:t>un</w:t>
      </w:r>
      <w:r w:rsidRPr="00144EDC">
        <w:rPr>
          <w:szCs w:val="20"/>
        </w:rPr>
        <w:t xml:space="preserve"> </w:t>
      </w:r>
      <w:r w:rsidRPr="00144EDC">
        <w:rPr>
          <w:b/>
          <w:sz w:val="22"/>
        </w:rPr>
        <w:t>Mémoire Technique</w:t>
      </w:r>
      <w:r w:rsidR="00CA47DB">
        <w:rPr>
          <w:b/>
          <w:sz w:val="22"/>
          <w:lang w:val="fr-FR"/>
        </w:rPr>
        <w:t xml:space="preserve"> </w:t>
      </w:r>
      <w:r w:rsidR="00CA47DB" w:rsidRPr="00CA47DB">
        <w:rPr>
          <w:b/>
          <w:sz w:val="22"/>
        </w:rPr>
        <w:t>(pour chacun des lots)</w:t>
      </w:r>
      <w:r w:rsidR="000E24BA">
        <w:rPr>
          <w:sz w:val="22"/>
          <w:lang w:val="fr-FR"/>
        </w:rPr>
        <w:t>,</w:t>
      </w:r>
      <w:r w:rsidR="00CA47DB" w:rsidRPr="00CA47DB">
        <w:rPr>
          <w:b/>
          <w:sz w:val="22"/>
        </w:rPr>
        <w:t xml:space="preserve"> </w:t>
      </w:r>
      <w:r w:rsidRPr="00144EDC">
        <w:rPr>
          <w:sz w:val="22"/>
        </w:rPr>
        <w:t>qui sera contractualisé</w:t>
      </w:r>
      <w:r w:rsidR="000E24BA">
        <w:rPr>
          <w:sz w:val="22"/>
          <w:lang w:val="fr-FR"/>
        </w:rPr>
        <w:t>,</w:t>
      </w:r>
      <w:r w:rsidRPr="00144EDC">
        <w:rPr>
          <w:sz w:val="22"/>
        </w:rPr>
        <w:t xml:space="preserve"> comprenant</w:t>
      </w:r>
      <w:r w:rsidR="00144EDC" w:rsidRPr="00144EDC">
        <w:rPr>
          <w:sz w:val="22"/>
        </w:rPr>
        <w:t xml:space="preserve"> notamment </w:t>
      </w:r>
      <w:r w:rsidR="00CA47DB">
        <w:rPr>
          <w:sz w:val="22"/>
          <w:lang w:val="fr-FR"/>
        </w:rPr>
        <w:t>et obligatoirement :</w:t>
      </w:r>
    </w:p>
    <w:p w14:paraId="372DE970" w14:textId="1AD65791" w:rsidR="00CA47DB" w:rsidRDefault="00E2756A" w:rsidP="00D12A52">
      <w:pPr>
        <w:pStyle w:val="Liste"/>
      </w:pPr>
      <w:r w:rsidRPr="00E2756A">
        <w:rPr>
          <w:u w:val="single"/>
        </w:rPr>
        <w:t>Partie I :</w:t>
      </w:r>
      <w:r>
        <w:t xml:space="preserve"> </w:t>
      </w:r>
      <w:r w:rsidR="00A15717">
        <w:t>une note</w:t>
      </w:r>
      <w:r w:rsidR="003244D6" w:rsidRPr="003244D6">
        <w:t xml:space="preserve"> sur </w:t>
      </w:r>
      <w:r w:rsidR="00CA47DB">
        <w:t>l’analyse du contexte et des enjeux du projet en matière de communication</w:t>
      </w:r>
      <w:r w:rsidR="00D12A52">
        <w:t> ;</w:t>
      </w:r>
    </w:p>
    <w:p w14:paraId="095A8659" w14:textId="725AA0E4" w:rsidR="00CA47DB" w:rsidRDefault="00E2756A" w:rsidP="00D12A52">
      <w:pPr>
        <w:pStyle w:val="Liste"/>
      </w:pPr>
      <w:r w:rsidRPr="00E2756A">
        <w:rPr>
          <w:u w:val="single"/>
        </w:rPr>
        <w:t>Partie II :</w:t>
      </w:r>
      <w:r>
        <w:t xml:space="preserve"> </w:t>
      </w:r>
      <w:r w:rsidR="00314F97">
        <w:t>une note sur</w:t>
      </w:r>
      <w:r w:rsidR="00285593">
        <w:t xml:space="preserve"> la</w:t>
      </w:r>
      <w:r w:rsidR="00CA47DB">
        <w:t xml:space="preserve"> méthodologie </w:t>
      </w:r>
      <w:r w:rsidR="00314F97">
        <w:t>de</w:t>
      </w:r>
      <w:r w:rsidR="00D12A52">
        <w:t xml:space="preserve"> la</w:t>
      </w:r>
      <w:r w:rsidR="00285593">
        <w:t xml:space="preserve"> réalisation des prestations, en particulier production et validation des livrables ;</w:t>
      </w:r>
    </w:p>
    <w:p w14:paraId="65B1684F" w14:textId="0D82DB7E" w:rsidR="00285593" w:rsidRDefault="00E2756A" w:rsidP="00314F97">
      <w:pPr>
        <w:pStyle w:val="Liste"/>
      </w:pPr>
      <w:r w:rsidRPr="00314F97">
        <w:rPr>
          <w:u w:val="single"/>
        </w:rPr>
        <w:lastRenderedPageBreak/>
        <w:t>Partie III :</w:t>
      </w:r>
      <w:r>
        <w:t xml:space="preserve"> </w:t>
      </w:r>
      <w:r w:rsidR="00314F97" w:rsidRPr="00314F97">
        <w:t xml:space="preserve">une note </w:t>
      </w:r>
      <w:r w:rsidR="00314F97">
        <w:t xml:space="preserve">exposant le détail des moyens humains </w:t>
      </w:r>
      <w:r w:rsidR="00F64234">
        <w:t>que le candidat compte dédier</w:t>
      </w:r>
      <w:r w:rsidR="00314F97">
        <w:t xml:space="preserve"> à l’exécution </w:t>
      </w:r>
      <w:r w:rsidR="00F64234">
        <w:t>des prestations, en particulier</w:t>
      </w:r>
      <w:r w:rsidR="00314F97" w:rsidRPr="00314F97">
        <w:t xml:space="preserve"> l’organisation de l’équipe </w:t>
      </w:r>
      <w:r w:rsidR="00F64234">
        <w:t>(organigramme) et</w:t>
      </w:r>
      <w:r w:rsidR="00E11778">
        <w:t xml:space="preserve"> </w:t>
      </w:r>
      <w:r w:rsidR="00E11778" w:rsidRPr="00E11778">
        <w:t>CV</w:t>
      </w:r>
      <w:r w:rsidR="00E11778">
        <w:t xml:space="preserve"> des</w:t>
      </w:r>
      <w:r w:rsidR="00E11778" w:rsidRPr="00E11778">
        <w:t xml:space="preserve"> </w:t>
      </w:r>
      <w:r w:rsidR="00285593">
        <w:t>profils clés cités au CCAP</w:t>
      </w:r>
      <w:r w:rsidR="00E11778">
        <w:t xml:space="preserve"> et des autres</w:t>
      </w:r>
      <w:r w:rsidR="00F64234">
        <w:t xml:space="preserve"> membres de cette </w:t>
      </w:r>
      <w:r w:rsidR="00285593">
        <w:t>équipe.</w:t>
      </w:r>
    </w:p>
    <w:p w14:paraId="4354C0F8" w14:textId="40E36A4A" w:rsidR="00287C34" w:rsidRPr="00AD3157" w:rsidRDefault="00287C34" w:rsidP="00E2756A">
      <w:pPr>
        <w:pStyle w:val="Liste"/>
      </w:pPr>
      <w:r>
        <w:t>l</w:t>
      </w:r>
      <w:r w:rsidRPr="00AD3157">
        <w:t xml:space="preserve">e cas échéant, tout </w:t>
      </w:r>
      <w:r w:rsidR="00F64234">
        <w:t>élément</w:t>
      </w:r>
      <w:r w:rsidRPr="00AD3157">
        <w:t xml:space="preserve"> complémentaire que le candidat juge</w:t>
      </w:r>
      <w:r>
        <w:t>ra</w:t>
      </w:r>
      <w:r w:rsidRPr="00AD3157">
        <w:t xml:space="preserve"> utile à la présentation de son offre. </w:t>
      </w:r>
    </w:p>
    <w:p w14:paraId="257BD3F8" w14:textId="77777777" w:rsidR="00287C34" w:rsidRPr="00B8020F" w:rsidRDefault="00287C34" w:rsidP="00287C34">
      <w:pPr>
        <w:spacing w:before="60" w:after="60"/>
        <w:contextualSpacing/>
        <w:rPr>
          <w:highlight w:val="green"/>
        </w:rPr>
      </w:pPr>
    </w:p>
    <w:tbl>
      <w:tblPr>
        <w:tblStyle w:val="Grilledutableau"/>
        <w:tblW w:w="0" w:type="auto"/>
        <w:tblBorders>
          <w:insideV w:val="none" w:sz="0" w:space="0" w:color="auto"/>
        </w:tblBorders>
        <w:tblLook w:val="04A0" w:firstRow="1" w:lastRow="0" w:firstColumn="1" w:lastColumn="0" w:noHBand="0" w:noVBand="1"/>
      </w:tblPr>
      <w:tblGrid>
        <w:gridCol w:w="1129"/>
        <w:gridCol w:w="7932"/>
      </w:tblGrid>
      <w:tr w:rsidR="00287C34" w14:paraId="3672D2A9" w14:textId="77777777" w:rsidTr="00805EB0">
        <w:tc>
          <w:tcPr>
            <w:tcW w:w="1129" w:type="dxa"/>
            <w:vAlign w:val="center"/>
          </w:tcPr>
          <w:p w14:paraId="1A7F9DD3" w14:textId="77777777" w:rsidR="00287C34" w:rsidRDefault="00287C34" w:rsidP="00805EB0">
            <w:pPr>
              <w:jc w:val="center"/>
            </w:pPr>
            <w:r w:rsidRPr="00131A2D">
              <w:rPr>
                <w:noProof/>
                <w:lang w:eastAsia="fr-FR"/>
              </w:rPr>
              <w:drawing>
                <wp:inline distT="0" distB="0" distL="0" distR="0" wp14:anchorId="590CC86D" wp14:editId="5A71F52F">
                  <wp:extent cx="389106" cy="335776"/>
                  <wp:effectExtent l="0" t="0" r="0" b="7620"/>
                  <wp:docPr id="16" name="Image 1" descr="Description : 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fficher l'image en taille réelle"/>
                          <pic:cNvPicPr>
                            <a:picLocks noChangeAspect="1" noChangeArrowheads="1"/>
                          </pic:cNvPicPr>
                        </pic:nvPicPr>
                        <pic:blipFill>
                          <a:blip r:embed="rId16" cstate="print"/>
                          <a:srcRect/>
                          <a:stretch>
                            <a:fillRect/>
                          </a:stretch>
                        </pic:blipFill>
                        <pic:spPr bwMode="auto">
                          <a:xfrm>
                            <a:off x="0" y="0"/>
                            <a:ext cx="404846" cy="349359"/>
                          </a:xfrm>
                          <a:prstGeom prst="rect">
                            <a:avLst/>
                          </a:prstGeom>
                          <a:noFill/>
                          <a:ln w="9525">
                            <a:noFill/>
                            <a:miter lim="800000"/>
                            <a:headEnd/>
                            <a:tailEnd/>
                          </a:ln>
                        </pic:spPr>
                      </pic:pic>
                    </a:graphicData>
                  </a:graphic>
                </wp:inline>
              </w:drawing>
            </w:r>
          </w:p>
        </w:tc>
        <w:tc>
          <w:tcPr>
            <w:tcW w:w="7932" w:type="dxa"/>
            <w:vAlign w:val="center"/>
          </w:tcPr>
          <w:p w14:paraId="2CD65B21" w14:textId="77777777" w:rsidR="00287C34" w:rsidRDefault="00287C34" w:rsidP="00805EB0">
            <w:r w:rsidRPr="00FF142C">
              <w:t>Sauf exception expressément mentionnée dans le présent règlement de consultation, les candidats sont tenus de fournir tous les renseignements demandés sous peine d’irrecevabilité de leur offre</w:t>
            </w:r>
            <w:r>
              <w:t>.</w:t>
            </w:r>
          </w:p>
        </w:tc>
      </w:tr>
    </w:tbl>
    <w:p w14:paraId="030CA284" w14:textId="77777777" w:rsidR="005D3137" w:rsidRDefault="005D3137" w:rsidP="005D3137">
      <w:pPr>
        <w:spacing w:before="80" w:after="80" w:line="276" w:lineRule="auto"/>
      </w:pPr>
    </w:p>
    <w:p w14:paraId="55C1CB3E" w14:textId="74E49ABA" w:rsidR="00FA53AD" w:rsidRPr="00BE5ADC" w:rsidRDefault="00FA53AD" w:rsidP="00D833CA">
      <w:pPr>
        <w:spacing w:line="276" w:lineRule="auto"/>
      </w:pPr>
    </w:p>
    <w:p w14:paraId="6BA6FE5F" w14:textId="77777777" w:rsidR="00D25F5F" w:rsidRDefault="001E507B" w:rsidP="00D25F5F">
      <w:pPr>
        <w:pStyle w:val="CSNETITRE1"/>
      </w:pPr>
      <w:bookmarkStart w:id="45" w:name="_Toc119173965"/>
      <w:r>
        <w:t>Evaluation des candidatures, jugement et classement des offres</w:t>
      </w:r>
      <w:bookmarkEnd w:id="45"/>
    </w:p>
    <w:p w14:paraId="3E1FB4FC" w14:textId="65BEE3EA" w:rsidR="003F451C" w:rsidRDefault="00F3725F" w:rsidP="00753A01">
      <w:pPr>
        <w:pStyle w:val="CSNETITRE2"/>
        <w:spacing w:line="276" w:lineRule="auto"/>
      </w:pPr>
      <w:bookmarkStart w:id="46" w:name="_Toc119173966"/>
      <w:bookmarkStart w:id="47" w:name="_Toc12632523"/>
      <w:bookmarkStart w:id="48" w:name="_Toc35523976"/>
      <w:r>
        <w:t>evaluation des candidatures/niveaux minima de capacite</w:t>
      </w:r>
      <w:bookmarkEnd w:id="46"/>
    </w:p>
    <w:p w14:paraId="0035F114" w14:textId="77777777" w:rsidR="003F451C" w:rsidRPr="006D263E" w:rsidRDefault="003F451C" w:rsidP="006D263E">
      <w:pPr>
        <w:pStyle w:val="CSNETitre3"/>
        <w:rPr>
          <w:sz w:val="24"/>
          <w:szCs w:val="24"/>
        </w:rPr>
      </w:pPr>
      <w:bookmarkStart w:id="49" w:name="_Toc119173967"/>
      <w:r w:rsidRPr="006D263E">
        <w:rPr>
          <w:sz w:val="24"/>
          <w:szCs w:val="24"/>
        </w:rPr>
        <w:t>Capacités techniques</w:t>
      </w:r>
      <w:bookmarkEnd w:id="49"/>
      <w:r w:rsidRPr="006D263E">
        <w:rPr>
          <w:sz w:val="24"/>
          <w:szCs w:val="24"/>
        </w:rPr>
        <w:t xml:space="preserve"> </w:t>
      </w:r>
    </w:p>
    <w:p w14:paraId="20734782" w14:textId="60F11D2B" w:rsidR="003F451C" w:rsidRDefault="003F451C" w:rsidP="003F451C">
      <w:pPr>
        <w:spacing w:line="276" w:lineRule="auto"/>
      </w:pPr>
    </w:p>
    <w:p w14:paraId="2497E4AA" w14:textId="180E3CBF" w:rsidR="003F451C" w:rsidRDefault="006D263E" w:rsidP="003F451C">
      <w:pPr>
        <w:spacing w:line="276" w:lineRule="auto"/>
      </w:pPr>
      <w:r>
        <w:t>Le Maître d’ouvrage</w:t>
      </w:r>
      <w:r w:rsidR="003F451C">
        <w:t xml:space="preserve"> procéder</w:t>
      </w:r>
      <w:r>
        <w:t xml:space="preserve">a </w:t>
      </w:r>
      <w:r w:rsidR="003F451C">
        <w:t>à l’élimination des candidats dont les capacités</w:t>
      </w:r>
      <w:r>
        <w:t xml:space="preserve"> techniques</w:t>
      </w:r>
      <w:r w:rsidR="003F451C">
        <w:t xml:space="preserve"> sont,</w:t>
      </w:r>
      <w:r>
        <w:t xml:space="preserve"> </w:t>
      </w:r>
      <w:r w:rsidR="003F451C">
        <w:t>à l’évidence, et sans qu’il soit besoin d’un examen approfondi</w:t>
      </w:r>
      <w:r>
        <w:t xml:space="preserve"> </w:t>
      </w:r>
      <w:r w:rsidR="003F451C">
        <w:t>du dossier de candidature</w:t>
      </w:r>
      <w:r>
        <w:t xml:space="preserve"> sur ce point, insuffisantes pour </w:t>
      </w:r>
      <w:r w:rsidR="003F451C">
        <w:t>assurer l’exécution des</w:t>
      </w:r>
      <w:r>
        <w:t xml:space="preserve"> prestations faisant l’objet de l’accord cadre </w:t>
      </w:r>
      <w:r w:rsidR="003F451C">
        <w:t>marché public</w:t>
      </w:r>
      <w:r>
        <w:t>.</w:t>
      </w:r>
    </w:p>
    <w:p w14:paraId="165DA822" w14:textId="5E672637" w:rsidR="006D263E" w:rsidRPr="006D263E" w:rsidRDefault="006D263E" w:rsidP="006D263E">
      <w:pPr>
        <w:pStyle w:val="CSNETitre3"/>
        <w:rPr>
          <w:sz w:val="24"/>
          <w:szCs w:val="24"/>
        </w:rPr>
      </w:pPr>
      <w:bookmarkStart w:id="50" w:name="_Ref118996883"/>
      <w:bookmarkStart w:id="51" w:name="_Toc119173968"/>
      <w:r w:rsidRPr="006D263E">
        <w:rPr>
          <w:sz w:val="24"/>
          <w:szCs w:val="24"/>
        </w:rPr>
        <w:t xml:space="preserve">Capacités </w:t>
      </w:r>
      <w:r w:rsidR="00DE0CA1">
        <w:rPr>
          <w:sz w:val="24"/>
          <w:szCs w:val="24"/>
        </w:rPr>
        <w:t>économiques et financières</w:t>
      </w:r>
      <w:bookmarkEnd w:id="50"/>
      <w:bookmarkEnd w:id="51"/>
      <w:r w:rsidRPr="006D263E">
        <w:rPr>
          <w:sz w:val="24"/>
          <w:szCs w:val="24"/>
        </w:rPr>
        <w:t xml:space="preserve"> </w:t>
      </w:r>
    </w:p>
    <w:p w14:paraId="07CC3FD4" w14:textId="77777777" w:rsidR="006D263E" w:rsidRDefault="006D263E" w:rsidP="003F451C">
      <w:pPr>
        <w:spacing w:line="276" w:lineRule="auto"/>
      </w:pPr>
    </w:p>
    <w:bookmarkEnd w:id="47"/>
    <w:bookmarkEnd w:id="48"/>
    <w:p w14:paraId="24F7DD6F" w14:textId="743E6BE9" w:rsidR="00BC166F" w:rsidRDefault="00BC166F" w:rsidP="000272ED">
      <w:pPr>
        <w:spacing w:line="276" w:lineRule="auto"/>
      </w:pPr>
      <w:r w:rsidRPr="000272ED">
        <w:t xml:space="preserve">Au titre des capacités économiques et financières, les candidats devront impérativement justifier que leur chiffre d’affaires annuel </w:t>
      </w:r>
      <w:r w:rsidR="005B5A47" w:rsidRPr="000272ED">
        <w:t>global a toujours été au moins égal, au cours des 3 derniers exercices disponibles, à :</w:t>
      </w:r>
      <w:r w:rsidRPr="008657A8">
        <w:t xml:space="preserve"> </w:t>
      </w:r>
    </w:p>
    <w:p w14:paraId="7AEABA4D" w14:textId="0BF4225D" w:rsidR="00DE0CA1" w:rsidRPr="008657A8" w:rsidRDefault="00DE0CA1" w:rsidP="00DE0CA1">
      <w:pPr>
        <w:autoSpaceDE w:val="0"/>
        <w:autoSpaceDN w:val="0"/>
        <w:adjustRightInd w:val="0"/>
        <w:jc w:val="left"/>
      </w:pPr>
      <w:r w:rsidRPr="008657A8">
        <w:t xml:space="preserve">Lot A : 1 200 000 € </w:t>
      </w:r>
    </w:p>
    <w:p w14:paraId="19FA051A" w14:textId="1872167F" w:rsidR="00DE0CA1" w:rsidRPr="008657A8" w:rsidRDefault="00DE0CA1" w:rsidP="00DE0CA1">
      <w:pPr>
        <w:autoSpaceDE w:val="0"/>
        <w:autoSpaceDN w:val="0"/>
        <w:adjustRightInd w:val="0"/>
        <w:jc w:val="left"/>
      </w:pPr>
      <w:r w:rsidRPr="008657A8">
        <w:t xml:space="preserve">Lot B : 1 632 000 € </w:t>
      </w:r>
    </w:p>
    <w:p w14:paraId="5DA1823C" w14:textId="77777777" w:rsidR="008657A8" w:rsidRDefault="008657A8" w:rsidP="00DE0CA1">
      <w:pPr>
        <w:autoSpaceDE w:val="0"/>
        <w:autoSpaceDN w:val="0"/>
        <w:adjustRightInd w:val="0"/>
        <w:jc w:val="left"/>
        <w:rPr>
          <w:rFonts w:ascii="Calibri" w:hAnsi="Calibri" w:cs="Calibri"/>
          <w:sz w:val="20"/>
          <w:szCs w:val="20"/>
        </w:rPr>
      </w:pPr>
    </w:p>
    <w:p w14:paraId="104575E7" w14:textId="703B88E6" w:rsidR="001F03B5" w:rsidRPr="001F03B5" w:rsidRDefault="001F03B5" w:rsidP="001F03B5">
      <w:pPr>
        <w:pStyle w:val="CSNETitre3"/>
        <w:rPr>
          <w:sz w:val="24"/>
          <w:szCs w:val="24"/>
        </w:rPr>
      </w:pPr>
      <w:bookmarkStart w:id="52" w:name="_Ref118999691"/>
      <w:bookmarkStart w:id="53" w:name="_Toc119173969"/>
      <w:r w:rsidRPr="001F03B5">
        <w:rPr>
          <w:sz w:val="24"/>
          <w:szCs w:val="24"/>
        </w:rPr>
        <w:t xml:space="preserve">Capacités </w:t>
      </w:r>
      <w:r>
        <w:rPr>
          <w:sz w:val="24"/>
          <w:szCs w:val="24"/>
        </w:rPr>
        <w:t>professionnelles</w:t>
      </w:r>
      <w:bookmarkEnd w:id="52"/>
      <w:bookmarkEnd w:id="53"/>
      <w:r w:rsidRPr="001F03B5">
        <w:rPr>
          <w:sz w:val="24"/>
          <w:szCs w:val="24"/>
        </w:rPr>
        <w:t xml:space="preserve"> </w:t>
      </w:r>
    </w:p>
    <w:p w14:paraId="53C8DD55" w14:textId="77777777" w:rsidR="001F03B5" w:rsidRDefault="001F03B5" w:rsidP="001F03B5">
      <w:pPr>
        <w:spacing w:line="276" w:lineRule="auto"/>
      </w:pPr>
    </w:p>
    <w:p w14:paraId="1C3455B7" w14:textId="2F6DE2DA" w:rsidR="009436E9" w:rsidRDefault="009436E9" w:rsidP="009436E9">
      <w:pPr>
        <w:spacing w:line="276" w:lineRule="auto"/>
      </w:pPr>
      <w:r>
        <w:t xml:space="preserve">1/ Compétences </w:t>
      </w:r>
      <w:r w:rsidR="007540A6">
        <w:t>liées aux prestations objet de l’accord cadre</w:t>
      </w:r>
      <w:r>
        <w:t> :</w:t>
      </w:r>
    </w:p>
    <w:p w14:paraId="4FC768B8" w14:textId="77777777" w:rsidR="009436E9" w:rsidRDefault="009436E9" w:rsidP="009436E9">
      <w:pPr>
        <w:spacing w:line="276" w:lineRule="auto"/>
      </w:pPr>
    </w:p>
    <w:p w14:paraId="538E3EDF" w14:textId="7E622684" w:rsidR="009436E9" w:rsidRPr="009436E9" w:rsidRDefault="009436E9" w:rsidP="009436E9">
      <w:pPr>
        <w:spacing w:line="276" w:lineRule="auto"/>
      </w:pPr>
      <w:r w:rsidRPr="009436E9">
        <w:t xml:space="preserve">Chacune des compétences énumérées </w:t>
      </w:r>
      <w:r>
        <w:t xml:space="preserve">ci-dessous </w:t>
      </w:r>
      <w:r w:rsidRPr="009436E9">
        <w:t xml:space="preserve">doit être démontrée par au moins </w:t>
      </w:r>
      <w:r>
        <w:t>2</w:t>
      </w:r>
      <w:r w:rsidRPr="009436E9">
        <w:t xml:space="preserve"> références</w:t>
      </w:r>
      <w:r w:rsidR="007540A6">
        <w:t xml:space="preserve"> en cours ou achevées</w:t>
      </w:r>
      <w:r w:rsidR="00EB0DCE">
        <w:t xml:space="preserve"> datant de moins de trois ans</w:t>
      </w:r>
      <w:r w:rsidRPr="009436E9">
        <w:t xml:space="preserve"> (étant entendu qu’une même référence peut être fournie afin de justifier de plusieurs des compétences requises).</w:t>
      </w:r>
    </w:p>
    <w:p w14:paraId="5D95CF27" w14:textId="307346A3" w:rsidR="001F03B5" w:rsidRDefault="001F03B5" w:rsidP="00DE0CA1">
      <w:pPr>
        <w:spacing w:line="276" w:lineRule="auto"/>
        <w:rPr>
          <w:rFonts w:ascii="Calibri" w:hAnsi="Calibri" w:cs="Calibri"/>
        </w:rPr>
      </w:pPr>
    </w:p>
    <w:p w14:paraId="110B3B78" w14:textId="1AEBB7C2" w:rsidR="007540A6" w:rsidRDefault="007540A6" w:rsidP="007540A6">
      <w:pPr>
        <w:pStyle w:val="Liste"/>
      </w:pPr>
      <w:r>
        <w:lastRenderedPageBreak/>
        <w:t>Le conseil en communication, l’assistance à la mise en œuvre d'actions d'accompagnement du projet et le suivi de mission</w:t>
      </w:r>
    </w:p>
    <w:p w14:paraId="76F51F91" w14:textId="77248770" w:rsidR="007540A6" w:rsidRDefault="007540A6" w:rsidP="007540A6">
      <w:pPr>
        <w:pStyle w:val="Liste"/>
      </w:pPr>
      <w:r>
        <w:t>L'animation et la coordination de la communication (uniquement pour le lot B)</w:t>
      </w:r>
    </w:p>
    <w:p w14:paraId="34C8E7A0" w14:textId="04D6DC8C" w:rsidR="007540A6" w:rsidRDefault="007540A6" w:rsidP="007540A6">
      <w:pPr>
        <w:pStyle w:val="Liste"/>
      </w:pPr>
      <w:r>
        <w:t>La conception d’outils de communication</w:t>
      </w:r>
    </w:p>
    <w:p w14:paraId="1A6AB8F9" w14:textId="05AE8B79" w:rsidR="007540A6" w:rsidRDefault="007540A6" w:rsidP="007540A6">
      <w:pPr>
        <w:pStyle w:val="Liste"/>
      </w:pPr>
      <w:r>
        <w:t>La fabrication d’outils de communication</w:t>
      </w:r>
    </w:p>
    <w:p w14:paraId="0B46E5C0" w14:textId="712E5D9A" w:rsidR="007540A6" w:rsidRDefault="007540A6" w:rsidP="00EB0DCE">
      <w:pPr>
        <w:pStyle w:val="Liste"/>
      </w:pPr>
      <w:r>
        <w:t>La diffusion d'outils de communication</w:t>
      </w:r>
    </w:p>
    <w:p w14:paraId="312FDE34" w14:textId="3BFF8412" w:rsidR="007540A6" w:rsidRDefault="007540A6" w:rsidP="00EB0DCE">
      <w:pPr>
        <w:pStyle w:val="Liste"/>
      </w:pPr>
      <w:r>
        <w:t>L’assistance dans l’organisation d’évènements publics, de manifestations ou d’opérations</w:t>
      </w:r>
      <w:r w:rsidR="00EB0DCE">
        <w:t xml:space="preserve"> </w:t>
      </w:r>
      <w:r>
        <w:t>de communication</w:t>
      </w:r>
    </w:p>
    <w:p w14:paraId="19593B29" w14:textId="22613173" w:rsidR="007540A6" w:rsidRDefault="007540A6" w:rsidP="00EB0DCE">
      <w:pPr>
        <w:pStyle w:val="Liste"/>
      </w:pPr>
      <w:r>
        <w:t>L’accompagnement en matière de communication numérique (Production et diffusion</w:t>
      </w:r>
      <w:r w:rsidR="00EB0DCE">
        <w:t xml:space="preserve"> </w:t>
      </w:r>
      <w:r>
        <w:t>d’information et de messages de communication)</w:t>
      </w:r>
    </w:p>
    <w:p w14:paraId="0F3F5203" w14:textId="3C9CBE7A" w:rsidR="007540A6" w:rsidRDefault="007540A6" w:rsidP="00EB0DCE">
      <w:pPr>
        <w:pStyle w:val="Liste"/>
      </w:pPr>
      <w:r>
        <w:t>La production d’outils multimédia</w:t>
      </w:r>
    </w:p>
    <w:p w14:paraId="5169B56E" w14:textId="18CB1EFB" w:rsidR="007540A6" w:rsidRDefault="007540A6" w:rsidP="00EB0DCE">
      <w:pPr>
        <w:pStyle w:val="Liste"/>
      </w:pPr>
      <w:r>
        <w:t>L’accompagnement relations presse et média</w:t>
      </w:r>
      <w:r w:rsidR="00EB0DCE">
        <w:t xml:space="preserve"> (uniquement pour le lot B)</w:t>
      </w:r>
    </w:p>
    <w:p w14:paraId="488376A2" w14:textId="77777777" w:rsidR="00EB0DCE" w:rsidRDefault="00EB0DCE" w:rsidP="00DE0CA1">
      <w:pPr>
        <w:spacing w:line="276" w:lineRule="auto"/>
        <w:rPr>
          <w:rFonts w:ascii="Calibri" w:hAnsi="Calibri" w:cs="Calibri"/>
        </w:rPr>
      </w:pPr>
    </w:p>
    <w:p w14:paraId="7C6E3A10" w14:textId="2BBB3231" w:rsidR="009436E9" w:rsidRDefault="00EB0DCE" w:rsidP="00DE0CA1">
      <w:pPr>
        <w:spacing w:line="276" w:lineRule="auto"/>
        <w:rPr>
          <w:rFonts w:ascii="Calibri" w:hAnsi="Calibri" w:cs="Calibri"/>
        </w:rPr>
      </w:pPr>
      <w:r>
        <w:rPr>
          <w:rFonts w:ascii="Calibri" w:hAnsi="Calibri" w:cs="Calibri"/>
        </w:rPr>
        <w:t>2</w:t>
      </w:r>
      <w:r w:rsidRPr="00EB0DCE">
        <w:rPr>
          <w:rFonts w:ascii="Calibri" w:hAnsi="Calibri" w:cs="Calibri"/>
        </w:rPr>
        <w:t>/ Compétences liées aux</w:t>
      </w:r>
      <w:r>
        <w:rPr>
          <w:rFonts w:ascii="Calibri" w:hAnsi="Calibri" w:cs="Calibri"/>
        </w:rPr>
        <w:t xml:space="preserve"> domaines de réalisation des</w:t>
      </w:r>
      <w:r w:rsidRPr="00EB0DCE">
        <w:rPr>
          <w:rFonts w:ascii="Calibri" w:hAnsi="Calibri" w:cs="Calibri"/>
        </w:rPr>
        <w:t xml:space="preserve"> prestations objet de l’accord cadre :</w:t>
      </w:r>
    </w:p>
    <w:p w14:paraId="6FCBA490" w14:textId="6BD43444" w:rsidR="001F03B5" w:rsidRDefault="001F03B5" w:rsidP="00DE0CA1">
      <w:pPr>
        <w:spacing w:line="276" w:lineRule="auto"/>
        <w:rPr>
          <w:rFonts w:ascii="Calibri" w:hAnsi="Calibri" w:cs="Calibri"/>
        </w:rPr>
      </w:pPr>
    </w:p>
    <w:p w14:paraId="2A2843E6" w14:textId="5A0DA411" w:rsidR="00D127DE" w:rsidRPr="009436E9" w:rsidRDefault="00D127DE" w:rsidP="00D127DE">
      <w:pPr>
        <w:spacing w:line="276" w:lineRule="auto"/>
      </w:pPr>
      <w:r w:rsidRPr="009436E9">
        <w:t xml:space="preserve">Chacune </w:t>
      </w:r>
      <w:r>
        <w:t>des compétences</w:t>
      </w:r>
      <w:r w:rsidRPr="009436E9">
        <w:t xml:space="preserve"> </w:t>
      </w:r>
      <w:r>
        <w:t xml:space="preserve">ci-dessous </w:t>
      </w:r>
      <w:r w:rsidRPr="009436E9">
        <w:t xml:space="preserve">doit être démontrée par au moins </w:t>
      </w:r>
      <w:r w:rsidR="00CC3477">
        <w:t>4</w:t>
      </w:r>
      <w:r w:rsidR="00CC3477" w:rsidRPr="009436E9">
        <w:t xml:space="preserve"> </w:t>
      </w:r>
      <w:r w:rsidRPr="009436E9">
        <w:t>références</w:t>
      </w:r>
      <w:r>
        <w:t xml:space="preserve"> </w:t>
      </w:r>
      <w:r w:rsidR="00B5295D">
        <w:t>– reconnue</w:t>
      </w:r>
      <w:r w:rsidR="00DF31CC">
        <w:t>s</w:t>
      </w:r>
      <w:r w:rsidR="00B5295D">
        <w:t xml:space="preserve"> comme telle</w:t>
      </w:r>
      <w:r w:rsidR="00DF31CC">
        <w:t>s</w:t>
      </w:r>
      <w:r w:rsidR="00B5295D">
        <w:t xml:space="preserve"> par le pouvoir </w:t>
      </w:r>
      <w:r w:rsidR="00DF31CC">
        <w:t xml:space="preserve">adjudicateur – </w:t>
      </w:r>
      <w:r>
        <w:t>en cours ou achevées datant de moins de dix ans</w:t>
      </w:r>
      <w:r w:rsidRPr="009436E9">
        <w:t xml:space="preserve"> (étant entendu qu’une même référence </w:t>
      </w:r>
      <w:r>
        <w:t xml:space="preserve">ne </w:t>
      </w:r>
      <w:r w:rsidRPr="009436E9">
        <w:t>peut être</w:t>
      </w:r>
      <w:r>
        <w:t xml:space="preserve"> pas être</w:t>
      </w:r>
      <w:r w:rsidRPr="009436E9">
        <w:t xml:space="preserve"> fournie afin de justifier de plusieurs des compétences requises</w:t>
      </w:r>
      <w:r w:rsidR="006A477A">
        <w:t xml:space="preserve">, sont donc attendues </w:t>
      </w:r>
      <w:r w:rsidR="00CC3477">
        <w:t xml:space="preserve">8 </w:t>
      </w:r>
      <w:r w:rsidR="006A477A">
        <w:t>références différentes</w:t>
      </w:r>
      <w:r w:rsidRPr="009436E9">
        <w:t>).</w:t>
      </w:r>
    </w:p>
    <w:p w14:paraId="65C1A625" w14:textId="593927D2" w:rsidR="00D127DE" w:rsidRDefault="00D127DE" w:rsidP="00D127DE">
      <w:pPr>
        <w:spacing w:line="276" w:lineRule="auto"/>
        <w:rPr>
          <w:rFonts w:ascii="Calibri" w:hAnsi="Calibri" w:cs="Calibri"/>
        </w:rPr>
      </w:pPr>
    </w:p>
    <w:p w14:paraId="66F0D087" w14:textId="3B9F3F33" w:rsidR="00D127DE" w:rsidRPr="003C2467" w:rsidRDefault="003C2467" w:rsidP="003C2467">
      <w:pPr>
        <w:pStyle w:val="Liste"/>
      </w:pPr>
      <w:r>
        <w:t xml:space="preserve">Communication concernant </w:t>
      </w:r>
      <w:r w:rsidR="00D127DE">
        <w:t>des projets d’infrastructures linéaires, OU des projets dans le domaine</w:t>
      </w:r>
      <w:r>
        <w:t xml:space="preserve"> </w:t>
      </w:r>
      <w:r w:rsidR="00D127DE" w:rsidRPr="003C2467">
        <w:rPr>
          <w:rFonts w:ascii="Calibri" w:hAnsi="Calibri" w:cs="Calibri"/>
        </w:rPr>
        <w:t>transport/mobilité, OU sur des projets d’aménagement du territoire (développement</w:t>
      </w:r>
      <w:r>
        <w:rPr>
          <w:rFonts w:ascii="Calibri" w:hAnsi="Calibri" w:cs="Calibri"/>
        </w:rPr>
        <w:t xml:space="preserve"> </w:t>
      </w:r>
      <w:r w:rsidR="00D127DE" w:rsidRPr="003C2467">
        <w:rPr>
          <w:rFonts w:ascii="Calibri" w:hAnsi="Calibri" w:cs="Calibri"/>
        </w:rPr>
        <w:t>urbain, territorial, équipements collectifs…), en phase de conception ou de</w:t>
      </w:r>
      <w:r>
        <w:rPr>
          <w:rFonts w:ascii="Calibri" w:hAnsi="Calibri" w:cs="Calibri"/>
        </w:rPr>
        <w:t xml:space="preserve"> </w:t>
      </w:r>
      <w:r w:rsidR="00D127DE" w:rsidRPr="003C2467">
        <w:rPr>
          <w:rFonts w:ascii="Calibri" w:hAnsi="Calibri" w:cs="Calibri"/>
        </w:rPr>
        <w:t>réalisation ;</w:t>
      </w:r>
    </w:p>
    <w:p w14:paraId="71ABE21E" w14:textId="06AE160A" w:rsidR="00D127DE" w:rsidRDefault="003C2467" w:rsidP="00753A01">
      <w:pPr>
        <w:pStyle w:val="Liste"/>
      </w:pPr>
      <w:r>
        <w:t xml:space="preserve">Communication concernant </w:t>
      </w:r>
      <w:r w:rsidR="00D127DE">
        <w:t>des projets et actions liés à l'emploi ou à l'insertion ou à la formation, OU des</w:t>
      </w:r>
      <w:r>
        <w:t xml:space="preserve"> </w:t>
      </w:r>
      <w:r w:rsidR="00D127DE">
        <w:t>projets et actions liés au développement économique, développement durable, en</w:t>
      </w:r>
      <w:r>
        <w:t xml:space="preserve"> </w:t>
      </w:r>
      <w:r w:rsidR="00D127DE">
        <w:t>phase de conception ou de réalisation ;</w:t>
      </w:r>
    </w:p>
    <w:p w14:paraId="00B97B42" w14:textId="131AFC10" w:rsidR="00D127DE" w:rsidRDefault="00D127DE" w:rsidP="006A477A">
      <w:pPr>
        <w:pStyle w:val="Liste"/>
      </w:pPr>
    </w:p>
    <w:p w14:paraId="46E614D5" w14:textId="6EF2F8F9" w:rsidR="00D127DE" w:rsidRDefault="00D127DE" w:rsidP="00DE0CA1">
      <w:pPr>
        <w:spacing w:line="276" w:lineRule="auto"/>
        <w:rPr>
          <w:rFonts w:ascii="Calibri" w:hAnsi="Calibri" w:cs="Calibri"/>
        </w:rPr>
      </w:pPr>
    </w:p>
    <w:p w14:paraId="7A464A50" w14:textId="77777777" w:rsidR="00D127DE" w:rsidRDefault="00D127DE" w:rsidP="00DE0CA1">
      <w:pPr>
        <w:spacing w:line="276" w:lineRule="auto"/>
        <w:rPr>
          <w:rFonts w:ascii="Calibri" w:hAnsi="Calibri" w:cs="Calibri"/>
        </w:rPr>
      </w:pPr>
    </w:p>
    <w:p w14:paraId="10E9A4E2" w14:textId="75FC40B8" w:rsidR="00D25F5F" w:rsidRDefault="001E507B" w:rsidP="00F3725F">
      <w:pPr>
        <w:pStyle w:val="CSNETITRE2"/>
        <w:spacing w:line="276" w:lineRule="auto"/>
      </w:pPr>
      <w:bookmarkStart w:id="54" w:name="_Toc119173970"/>
      <w:r>
        <w:t>Recevabilité des offres</w:t>
      </w:r>
      <w:bookmarkEnd w:id="54"/>
    </w:p>
    <w:p w14:paraId="6E673E87" w14:textId="77777777" w:rsidR="00EF3830" w:rsidRDefault="00EF3830" w:rsidP="00EF3830">
      <w:pPr>
        <w:spacing w:line="276" w:lineRule="auto"/>
      </w:pPr>
      <w:r w:rsidRPr="00D560EB">
        <w:t>Les offres inappropriées, irrégulières ou inacceptables s</w:t>
      </w:r>
      <w:r>
        <w:t>er</w:t>
      </w:r>
      <w:r w:rsidRPr="00D560EB">
        <w:t>ont éliminées</w:t>
      </w:r>
      <w:r>
        <w:t>.</w:t>
      </w:r>
    </w:p>
    <w:p w14:paraId="09D6A560" w14:textId="77777777" w:rsidR="00910EC6" w:rsidRDefault="00EF3830" w:rsidP="00D833CA">
      <w:pPr>
        <w:spacing w:line="276" w:lineRule="auto"/>
      </w:pPr>
      <w:r w:rsidRPr="00DB0284">
        <w:t>Toutefois, le Pouvoir Adjudicateur p</w:t>
      </w:r>
      <w:r>
        <w:t>eu</w:t>
      </w:r>
      <w:r w:rsidRPr="00DB0284">
        <w:t>t autoriser tous les soumissionnaires concernés à régulariser les offres irrégulières dans un délai approprié, à condition qu'elles ne soient pas anormalement basses. La régularisation des offres irrégulières ne pourra avoir pour effet de modifier des caractéristiques substantielles des offres.</w:t>
      </w:r>
    </w:p>
    <w:p w14:paraId="0A930FBF" w14:textId="77777777" w:rsidR="00A05E75" w:rsidRPr="00297347" w:rsidRDefault="001E507B" w:rsidP="00692ECD">
      <w:pPr>
        <w:pStyle w:val="CSNETITRE2"/>
      </w:pPr>
      <w:bookmarkStart w:id="55" w:name="_Toc119173971"/>
      <w:r w:rsidRPr="00297347">
        <w:lastRenderedPageBreak/>
        <w:t>Jugement des offres</w:t>
      </w:r>
      <w:bookmarkEnd w:id="55"/>
    </w:p>
    <w:p w14:paraId="55A15941" w14:textId="77777777" w:rsidR="001C09F2" w:rsidRDefault="001C09F2" w:rsidP="001C09F2">
      <w:r>
        <w:t xml:space="preserve">L’accord-cadre sera </w:t>
      </w:r>
      <w:r w:rsidRPr="00303D07">
        <w:t>attribué au candidat ayant présenté l’offre économiquement la plus avantageuse</w:t>
      </w:r>
      <w:bookmarkStart w:id="56" w:name="_Toc144875587"/>
      <w:bookmarkStart w:id="57" w:name="_Toc301272939"/>
      <w:r w:rsidRPr="00303D07">
        <w:t>.</w:t>
      </w:r>
    </w:p>
    <w:p w14:paraId="29EA0555" w14:textId="5C6810D9" w:rsidR="001C09F2" w:rsidRDefault="001C09F2" w:rsidP="001C09F2">
      <w:r w:rsidRPr="00303D07">
        <w:t>L’offre globale sera notée sur 100 points en fonction des critères exposés ci-après.</w:t>
      </w:r>
    </w:p>
    <w:p w14:paraId="1F5B4633" w14:textId="77777777" w:rsidR="00D41570" w:rsidRDefault="00D41570" w:rsidP="001C09F2"/>
    <w:p w14:paraId="11DB44E1" w14:textId="74F1408D" w:rsidR="001C09F2" w:rsidRPr="00D41570" w:rsidRDefault="001C09F2" w:rsidP="00FD104A">
      <w:pPr>
        <w:pStyle w:val="Liste"/>
        <w:numPr>
          <w:ilvl w:val="0"/>
          <w:numId w:val="15"/>
        </w:numPr>
      </w:pPr>
      <w:r w:rsidRPr="00D41570">
        <w:t xml:space="preserve">Valeur technique (pondération : </w:t>
      </w:r>
      <w:r w:rsidR="008D3EF7">
        <w:rPr>
          <w:b/>
        </w:rPr>
        <w:t>6</w:t>
      </w:r>
      <w:r w:rsidRPr="00297347">
        <w:rPr>
          <w:b/>
        </w:rPr>
        <w:t>0%</w:t>
      </w:r>
      <w:r w:rsidRPr="00D41570">
        <w:t>),</w:t>
      </w:r>
    </w:p>
    <w:p w14:paraId="23EE2BA7" w14:textId="0D40A601" w:rsidR="001C09F2" w:rsidRDefault="001C09F2" w:rsidP="001C09F2">
      <w:r w:rsidRPr="00C66D46">
        <w:t>Le critère "valeur techniqu</w:t>
      </w:r>
      <w:r>
        <w:t>e", noté sur 100 points, sera</w:t>
      </w:r>
      <w:r w:rsidRPr="00C66D46">
        <w:t xml:space="preserve"> apprécié sur la b</w:t>
      </w:r>
      <w:r>
        <w:t xml:space="preserve">ase du mémoire technique fourni </w:t>
      </w:r>
      <w:r w:rsidRPr="00C66D46">
        <w:t>par les candidats, en prenant en compte les sous-critères suivants :</w:t>
      </w:r>
    </w:p>
    <w:p w14:paraId="042D20BA" w14:textId="77777777" w:rsidR="002C20B7" w:rsidRDefault="002C20B7" w:rsidP="001C09F2"/>
    <w:p w14:paraId="030D7D30" w14:textId="2BDD03D7" w:rsidR="001C09F2" w:rsidRDefault="001C09F2" w:rsidP="001C09F2">
      <w:pPr>
        <w:numPr>
          <w:ilvl w:val="0"/>
          <w:numId w:val="6"/>
        </w:numPr>
        <w:spacing w:line="276" w:lineRule="auto"/>
        <w:ind w:left="426" w:hanging="284"/>
      </w:pPr>
      <w:r>
        <w:t>s</w:t>
      </w:r>
      <w:r w:rsidRPr="000D7F07">
        <w:t>ous-critère 1</w:t>
      </w:r>
      <w:r w:rsidR="00E05A3F">
        <w:t xml:space="preserve"> (apprécié sur la base de la partie I du mémoire technique)</w:t>
      </w:r>
      <w:r w:rsidRPr="000D7F07">
        <w:t xml:space="preserve"> : </w:t>
      </w:r>
      <w:r w:rsidR="00E05A3F">
        <w:t>Pertinence de l’analyse du contexte et</w:t>
      </w:r>
      <w:r>
        <w:t xml:space="preserve"> des e</w:t>
      </w:r>
      <w:r w:rsidR="000168E4">
        <w:t xml:space="preserve">njeux </w:t>
      </w:r>
      <w:r w:rsidR="00E05A3F">
        <w:t>du projet</w:t>
      </w:r>
      <w:r>
        <w:t xml:space="preserve">, sur </w:t>
      </w:r>
      <w:r w:rsidR="00E05A3F">
        <w:t>2</w:t>
      </w:r>
      <w:r w:rsidR="000168E4" w:rsidRPr="000168E4">
        <w:t>0</w:t>
      </w:r>
      <w:r w:rsidRPr="000168E4">
        <w:t xml:space="preserve"> points ;</w:t>
      </w:r>
    </w:p>
    <w:p w14:paraId="1A480057" w14:textId="77777777" w:rsidR="000C13F4" w:rsidRDefault="000C13F4" w:rsidP="000C13F4">
      <w:pPr>
        <w:spacing w:line="276" w:lineRule="auto"/>
        <w:ind w:left="426"/>
      </w:pPr>
    </w:p>
    <w:p w14:paraId="378853E9" w14:textId="4D7ACF5B" w:rsidR="001C09F2" w:rsidRDefault="001C09F2" w:rsidP="001C09F2">
      <w:pPr>
        <w:numPr>
          <w:ilvl w:val="0"/>
          <w:numId w:val="6"/>
        </w:numPr>
        <w:spacing w:line="276" w:lineRule="auto"/>
        <w:ind w:left="426" w:hanging="284"/>
      </w:pPr>
      <w:r w:rsidRPr="000168E4">
        <w:t>sous-critère 2</w:t>
      </w:r>
      <w:r w:rsidR="003B38E0">
        <w:t xml:space="preserve"> (apprécié sur la base de la partie II du mémoire technique)</w:t>
      </w:r>
      <w:r w:rsidRPr="000168E4">
        <w:t xml:space="preserve"> : Qualité et adéquation de la méthodologie, sur </w:t>
      </w:r>
      <w:r w:rsidR="00E05A3F">
        <w:t>4</w:t>
      </w:r>
      <w:r w:rsidR="0002385D">
        <w:t>0</w:t>
      </w:r>
      <w:r w:rsidRPr="000168E4">
        <w:t xml:space="preserve"> points ;</w:t>
      </w:r>
    </w:p>
    <w:p w14:paraId="0E905E11" w14:textId="77777777" w:rsidR="002C20B7" w:rsidRPr="000168E4" w:rsidRDefault="002C20B7" w:rsidP="002C20B7">
      <w:pPr>
        <w:spacing w:line="276" w:lineRule="auto"/>
        <w:ind w:left="426"/>
      </w:pPr>
    </w:p>
    <w:p w14:paraId="0407D157" w14:textId="52A5BE70" w:rsidR="001C09F2" w:rsidRDefault="001C09F2" w:rsidP="00E05A3F">
      <w:pPr>
        <w:numPr>
          <w:ilvl w:val="0"/>
          <w:numId w:val="6"/>
        </w:numPr>
        <w:spacing w:line="276" w:lineRule="auto"/>
        <w:ind w:left="426" w:hanging="284"/>
      </w:pPr>
      <w:r w:rsidRPr="000168E4">
        <w:t>sous-critère 3</w:t>
      </w:r>
      <w:r w:rsidR="003B38E0">
        <w:t xml:space="preserve"> (apprécié sur la base de la partie III du mémoire technique)</w:t>
      </w:r>
      <w:r w:rsidRPr="000168E4">
        <w:t xml:space="preserve"> : </w:t>
      </w:r>
      <w:r w:rsidR="00E05A3F">
        <w:t>Qualité de l’o</w:t>
      </w:r>
      <w:r w:rsidR="00E05A3F" w:rsidRPr="00E05A3F">
        <w:t>rganisation</w:t>
      </w:r>
      <w:r w:rsidR="00E05A3F">
        <w:t xml:space="preserve"> de l’équipe proposée et </w:t>
      </w:r>
      <w:r w:rsidR="003B38E0">
        <w:t>niveau</w:t>
      </w:r>
      <w:r w:rsidR="00E05A3F">
        <w:t xml:space="preserve"> de compétence de ses membres</w:t>
      </w:r>
      <w:r w:rsidRPr="000168E4">
        <w:t xml:space="preserve">, sur </w:t>
      </w:r>
      <w:r w:rsidR="00E05A3F">
        <w:t>4</w:t>
      </w:r>
      <w:r w:rsidR="0002385D">
        <w:t>0</w:t>
      </w:r>
      <w:r w:rsidR="000168E4" w:rsidRPr="000168E4">
        <w:t xml:space="preserve"> </w:t>
      </w:r>
      <w:r w:rsidRPr="000168E4">
        <w:t>point</w:t>
      </w:r>
      <w:r w:rsidR="003B38E0">
        <w:t>s.</w:t>
      </w:r>
    </w:p>
    <w:p w14:paraId="23DF19B1" w14:textId="3F667AF7" w:rsidR="001C09F2" w:rsidRDefault="001C09F2" w:rsidP="001C09F2"/>
    <w:p w14:paraId="40E95AB1" w14:textId="6B3952CC" w:rsidR="001C09F2" w:rsidRDefault="00703F62" w:rsidP="001C09F2">
      <w:r>
        <w:t>Pour chacun de ces sous-critères, l</w:t>
      </w:r>
      <w:r w:rsidR="001C09F2">
        <w:t xml:space="preserve">a notation technique des offres sera établie en deux temps de telle sorte que le candidat présentant la meilleure valeur technique à l’issue du premier temps d’analyse recueillera la note maximale </w:t>
      </w:r>
      <w:r w:rsidR="00B11D3F">
        <w:t>du sous-critère concerné</w:t>
      </w:r>
      <w:r w:rsidR="001C09F2">
        <w:t>.</w:t>
      </w:r>
    </w:p>
    <w:p w14:paraId="53490567" w14:textId="6BA66390" w:rsidR="001C09F2" w:rsidRDefault="001C09F2" w:rsidP="001C09F2">
      <w:r>
        <w:t xml:space="preserve">Ainsi, à l’issue de l’analyse </w:t>
      </w:r>
      <w:r w:rsidR="00202440">
        <w:t>de chaque sous-critère</w:t>
      </w:r>
      <w:r>
        <w:t xml:space="preserve">, les candidats se verront attribuer </w:t>
      </w:r>
      <w:r w:rsidR="00202440">
        <w:t>une</w:t>
      </w:r>
      <w:r>
        <w:t xml:space="preserve"> note finale selon la formule suivante :</w:t>
      </w:r>
    </w:p>
    <w:p w14:paraId="68CC5047" w14:textId="418ED4C8" w:rsidR="00B11D3F" w:rsidRDefault="00B11D3F" w:rsidP="001C09F2"/>
    <w:p w14:paraId="1F85C69D" w14:textId="70650C21" w:rsidR="00B11D3F" w:rsidRDefault="00B11D3F" w:rsidP="001C09F2">
      <w:r>
        <w:t>Note_sous-critère_finale = note maximum sous critère x NTOJ/NTMOT</w:t>
      </w:r>
    </w:p>
    <w:p w14:paraId="336116BD" w14:textId="471C1D39" w:rsidR="001C09F2" w:rsidRDefault="001C09F2" w:rsidP="001C09F2">
      <w:pPr>
        <w:spacing w:after="200"/>
        <w:jc w:val="center"/>
      </w:pPr>
    </w:p>
    <w:p w14:paraId="2EB20DBA" w14:textId="77777777" w:rsidR="001C09F2" w:rsidRPr="008B7FB0" w:rsidRDefault="001C09F2" w:rsidP="001C09F2">
      <w:r w:rsidRPr="008B7FB0">
        <w:t>dans laquelle :</w:t>
      </w:r>
    </w:p>
    <w:p w14:paraId="7FC573D4" w14:textId="0AFD9621" w:rsidR="001C09F2" w:rsidRPr="008B7FB0" w:rsidRDefault="001C09F2" w:rsidP="001C09F2">
      <w:pPr>
        <w:tabs>
          <w:tab w:val="left" w:pos="993"/>
        </w:tabs>
      </w:pPr>
      <w:r>
        <w:t>NTMOT :</w:t>
      </w:r>
      <w:r>
        <w:tab/>
      </w:r>
      <w:r w:rsidRPr="008B7FB0">
        <w:t xml:space="preserve">Note technique de la meilleure offre à l’issue de l’analyse </w:t>
      </w:r>
      <w:r w:rsidR="00B11D3F">
        <w:t>du sous critère</w:t>
      </w:r>
      <w:r w:rsidRPr="008B7FB0">
        <w:t>,</w:t>
      </w:r>
    </w:p>
    <w:p w14:paraId="54F9955C" w14:textId="05E8A756" w:rsidR="001C09F2" w:rsidRPr="008B7FB0" w:rsidRDefault="001C09F2" w:rsidP="001C09F2">
      <w:pPr>
        <w:tabs>
          <w:tab w:val="left" w:pos="993"/>
        </w:tabs>
      </w:pPr>
      <w:r>
        <w:t>NTOJ :</w:t>
      </w:r>
      <w:r>
        <w:tab/>
        <w:t xml:space="preserve">Note technique </w:t>
      </w:r>
      <w:r w:rsidRPr="008B7FB0">
        <w:t xml:space="preserve">de l'offre jugée à l’issue de l’analyse </w:t>
      </w:r>
      <w:r w:rsidR="00B11D3F">
        <w:t>du sous critère</w:t>
      </w:r>
      <w:r w:rsidRPr="008B7FB0">
        <w:t>.</w:t>
      </w:r>
    </w:p>
    <w:p w14:paraId="05E3C251" w14:textId="7910D487" w:rsidR="001C09F2" w:rsidRPr="00F948A9" w:rsidRDefault="001C09F2" w:rsidP="001C09F2">
      <w:pPr>
        <w:rPr>
          <w:rFonts w:cs="Calibri"/>
        </w:rPr>
      </w:pPr>
      <w:r w:rsidRPr="00F948A9">
        <w:rPr>
          <w:rFonts w:cs="Calibri"/>
          <w:position w:val="-24"/>
        </w:rPr>
        <w:object w:dxaOrig="960" w:dyaOrig="620" w14:anchorId="42722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3.25pt" o:ole="">
            <v:imagedata r:id="rId17" o:title=""/>
          </v:shape>
          <o:OLEObject Type="Embed" ProgID="Equation.3" ShapeID="_x0000_i1025" DrawAspect="Content" ObjectID="_1730201329" r:id="rId18"/>
        </w:object>
      </w:r>
      <w:r>
        <w:rPr>
          <w:rFonts w:cs="Calibri"/>
        </w:rPr>
        <w:t xml:space="preserve">   </w:t>
      </w:r>
      <w:r w:rsidRPr="006F0C6B">
        <w:rPr>
          <w:rFonts w:cs="Calibri"/>
        </w:rPr>
        <w:t>sera arrondi</w:t>
      </w:r>
      <w:r w:rsidR="00BA200C">
        <w:rPr>
          <w:rFonts w:cs="Calibri"/>
        </w:rPr>
        <w:t>e</w:t>
      </w:r>
      <w:r w:rsidRPr="006F0C6B">
        <w:rPr>
          <w:rFonts w:cs="Calibri"/>
        </w:rPr>
        <w:t xml:space="preserve"> à 2 chiffres après la virgule.</w:t>
      </w:r>
    </w:p>
    <w:p w14:paraId="0DA25361" w14:textId="77777777" w:rsidR="001C09F2" w:rsidRPr="001C16B4" w:rsidRDefault="001C09F2" w:rsidP="001C09F2">
      <w:r w:rsidRPr="001C16B4">
        <w:t>Dans le calcul du quotient précédent, les arrondis seront traités de la manière suivante :</w:t>
      </w:r>
    </w:p>
    <w:p w14:paraId="27655B53" w14:textId="77777777" w:rsidR="001C09F2" w:rsidRDefault="001C09F2" w:rsidP="001C09F2">
      <w:pPr>
        <w:pStyle w:val="Liste2"/>
      </w:pPr>
      <w:r>
        <w:t>s</w:t>
      </w:r>
      <w:r w:rsidRPr="00FC18AC">
        <w:t>i la troisième décimale est comprise entre 0 et 4 (ces valeurs incluses), la deuxième décimale est inchangée (arrondi par défaut).</w:t>
      </w:r>
    </w:p>
    <w:p w14:paraId="766D43A2" w14:textId="77777777" w:rsidR="001C09F2" w:rsidRPr="00AB3F38" w:rsidRDefault="001C09F2" w:rsidP="001C09F2">
      <w:pPr>
        <w:pStyle w:val="Liste2"/>
        <w:rPr>
          <w:rFonts w:eastAsia="Arial" w:cs="Times New Roman"/>
          <w:szCs w:val="18"/>
        </w:rPr>
      </w:pPr>
      <w:r>
        <w:t>s</w:t>
      </w:r>
      <w:r w:rsidRPr="00FC18AC">
        <w:t xml:space="preserve">i la troisième décimale est comprise entre 5 et 9 (ces valeurs incluses), la deuxième décimale </w:t>
      </w:r>
      <w:r w:rsidRPr="00AB3F38">
        <w:rPr>
          <w:rFonts w:eastAsia="Arial" w:cs="Times New Roman"/>
          <w:szCs w:val="18"/>
        </w:rPr>
        <w:t>est augmentée d'une unité (arrondi par excès).</w:t>
      </w:r>
    </w:p>
    <w:p w14:paraId="58C89ECD" w14:textId="64604C9E" w:rsidR="001C09F2" w:rsidRDefault="001C09F2" w:rsidP="001C09F2">
      <w:r w:rsidRPr="00AB3F38">
        <w:t>La note</w:t>
      </w:r>
      <w:r w:rsidR="00B11D3F">
        <w:t xml:space="preserve"> du critère valeur technique</w:t>
      </w:r>
      <w:r w:rsidRPr="00AB3F38">
        <w:t xml:space="preserve"> sur 100 points</w:t>
      </w:r>
      <w:r w:rsidR="000C1F3B">
        <w:t xml:space="preserve"> </w:t>
      </w:r>
      <w:r w:rsidR="00B11D3F">
        <w:t xml:space="preserve">est obtenue en additionnant les notes </w:t>
      </w:r>
      <w:r w:rsidR="000C1F3B">
        <w:t>ainsi obtenue</w:t>
      </w:r>
      <w:r w:rsidR="00B11D3F">
        <w:t>s pour chacun des trois sous-critères. Elle</w:t>
      </w:r>
      <w:r w:rsidR="000C1F3B">
        <w:t xml:space="preserve"> sera pondérée à </w:t>
      </w:r>
      <w:r w:rsidR="00E70048">
        <w:t>6</w:t>
      </w:r>
      <w:r w:rsidRPr="00AB3F38">
        <w:t>0% dans le total de la note finale.</w:t>
      </w:r>
    </w:p>
    <w:p w14:paraId="49D460AF" w14:textId="3D67AE93" w:rsidR="00D41570" w:rsidRPr="00AB3F38" w:rsidRDefault="00D41570" w:rsidP="001C09F2"/>
    <w:bookmarkEnd w:id="56"/>
    <w:bookmarkEnd w:id="57"/>
    <w:p w14:paraId="23810F8B" w14:textId="2E7BC776" w:rsidR="001C09F2" w:rsidRPr="00D41570" w:rsidRDefault="001C09F2" w:rsidP="00FD104A">
      <w:pPr>
        <w:pStyle w:val="Liste"/>
        <w:numPr>
          <w:ilvl w:val="0"/>
          <w:numId w:val="15"/>
        </w:numPr>
      </w:pPr>
      <w:r w:rsidRPr="00D41570">
        <w:t xml:space="preserve">Prix (pondération : </w:t>
      </w:r>
      <w:r w:rsidR="00E70048">
        <w:rPr>
          <w:b/>
        </w:rPr>
        <w:t>4</w:t>
      </w:r>
      <w:r w:rsidRPr="00297347">
        <w:rPr>
          <w:b/>
        </w:rPr>
        <w:t>0%</w:t>
      </w:r>
      <w:r w:rsidRPr="00D41570">
        <w:t>).</w:t>
      </w:r>
    </w:p>
    <w:p w14:paraId="293DFEA5" w14:textId="77777777" w:rsidR="001C09F2" w:rsidRPr="00224F14" w:rsidRDefault="001C09F2" w:rsidP="001C09F2">
      <w:r w:rsidRPr="00224F14">
        <w:t xml:space="preserve">Le critère « prix », noté sur 100 points, sera apprécié au regard du montant total TTC indiqué </w:t>
      </w:r>
      <w:r>
        <w:t>au</w:t>
      </w:r>
      <w:r w:rsidRPr="00224F14">
        <w:t xml:space="preserve"> DQE</w:t>
      </w:r>
      <w:r>
        <w:t>.</w:t>
      </w:r>
    </w:p>
    <w:p w14:paraId="4A5ECDCB" w14:textId="77777777" w:rsidR="001C09F2" w:rsidRPr="00224F14" w:rsidRDefault="001C09F2" w:rsidP="001C09F2">
      <w:r w:rsidRPr="00224F14">
        <w:t>Ce montant global sera apprécié, pour chaque candidat, par rapport au montant global le moins-disant, selon la formule suivante :</w:t>
      </w:r>
    </w:p>
    <w:p w14:paraId="3209B405" w14:textId="77777777" w:rsidR="001C09F2" w:rsidRPr="00224F14" w:rsidRDefault="001C09F2" w:rsidP="001C09F2">
      <w:pPr>
        <w:jc w:val="center"/>
      </w:pPr>
      <w:r w:rsidRPr="00224F14">
        <w:rPr>
          <w:position w:val="-24"/>
        </w:rPr>
        <w:object w:dxaOrig="2120" w:dyaOrig="620" w14:anchorId="2F867E20">
          <v:shape id="_x0000_i1026" type="#_x0000_t75" style="width:87pt;height:24pt" o:ole="">
            <v:imagedata r:id="rId19" o:title=""/>
          </v:shape>
          <o:OLEObject Type="Embed" ProgID="Equation.3" ShapeID="_x0000_i1026" DrawAspect="Content" ObjectID="_1730201330" r:id="rId20"/>
        </w:object>
      </w:r>
    </w:p>
    <w:p w14:paraId="394C0466" w14:textId="77777777" w:rsidR="001C09F2" w:rsidRPr="00224F14" w:rsidRDefault="001C09F2" w:rsidP="001C09F2">
      <w:r w:rsidRPr="00224F14">
        <w:t>Dans laquelle :</w:t>
      </w:r>
    </w:p>
    <w:p w14:paraId="34519C11" w14:textId="69C925A5" w:rsidR="001C09F2" w:rsidRPr="00224F14" w:rsidRDefault="001C09F2" w:rsidP="001C09F2">
      <w:pPr>
        <w:tabs>
          <w:tab w:val="left" w:pos="993"/>
        </w:tabs>
      </w:pPr>
      <w:r>
        <w:t>MOMD :</w:t>
      </w:r>
      <w:r>
        <w:tab/>
      </w:r>
      <w:r w:rsidRPr="00224F14">
        <w:t xml:space="preserve">Montant global </w:t>
      </w:r>
      <w:r w:rsidR="00BA200C">
        <w:t xml:space="preserve">de l’offre </w:t>
      </w:r>
      <w:r w:rsidRPr="00224F14">
        <w:t>le moins disant.</w:t>
      </w:r>
    </w:p>
    <w:p w14:paraId="39DCF7F1" w14:textId="3A66683C" w:rsidR="001C09F2" w:rsidRPr="00224F14" w:rsidRDefault="001C09F2" w:rsidP="001C09F2">
      <w:pPr>
        <w:tabs>
          <w:tab w:val="left" w:pos="993"/>
        </w:tabs>
      </w:pPr>
      <w:r>
        <w:t>MOJ :</w:t>
      </w:r>
      <w:r>
        <w:tab/>
      </w:r>
      <w:r w:rsidRPr="00224F14">
        <w:t xml:space="preserve">Montant global </w:t>
      </w:r>
      <w:r w:rsidR="00BA200C">
        <w:t xml:space="preserve">de l’offre </w:t>
      </w:r>
      <w:r w:rsidRPr="00224F14">
        <w:t>jugé</w:t>
      </w:r>
      <w:r w:rsidR="00BA200C">
        <w:t>e</w:t>
      </w:r>
      <w:r w:rsidRPr="00224F14">
        <w:t>.</w:t>
      </w:r>
    </w:p>
    <w:p w14:paraId="69FF7832" w14:textId="77777777" w:rsidR="000C13F4" w:rsidRDefault="000C13F4" w:rsidP="001C09F2"/>
    <w:p w14:paraId="39E899EF" w14:textId="77777777" w:rsidR="000C13F4" w:rsidRDefault="000C13F4" w:rsidP="001C09F2"/>
    <w:p w14:paraId="65B68336" w14:textId="77777777" w:rsidR="000C13F4" w:rsidRDefault="000C13F4" w:rsidP="001C09F2"/>
    <w:p w14:paraId="6D20A221" w14:textId="52BADCD4" w:rsidR="001C09F2" w:rsidRDefault="001C09F2" w:rsidP="001C09F2">
      <w:r w:rsidRPr="00224F14">
        <w:t>La note ainsi obtenue sera arrondie à 2 chiffres après la virgule.</w:t>
      </w:r>
      <w:r>
        <w:t xml:space="preserve"> </w:t>
      </w:r>
      <w:r w:rsidRPr="00224F14">
        <w:t>Les arrondis seront traités de la manière suivante :</w:t>
      </w:r>
    </w:p>
    <w:p w14:paraId="3D15CBD5" w14:textId="77777777" w:rsidR="000C13F4" w:rsidRPr="00224F14" w:rsidRDefault="000C13F4" w:rsidP="001C09F2"/>
    <w:p w14:paraId="17F8B411" w14:textId="77777777" w:rsidR="001C09F2" w:rsidRPr="00D41570" w:rsidRDefault="001C09F2" w:rsidP="001C09F2">
      <w:pPr>
        <w:pStyle w:val="Liste2"/>
        <w:rPr>
          <w:color w:val="auto"/>
        </w:rPr>
      </w:pPr>
      <w:r w:rsidRPr="00D41570">
        <w:rPr>
          <w:color w:val="auto"/>
        </w:rPr>
        <w:t>si la troisième décimale est comprise entre 0 et 4 (ces valeurs incluses), la deuxième décimale est inchangée (arrondi par défaut).</w:t>
      </w:r>
    </w:p>
    <w:p w14:paraId="3B20AF31" w14:textId="77777777" w:rsidR="001C09F2" w:rsidRPr="00D41570" w:rsidRDefault="001C09F2" w:rsidP="001C09F2">
      <w:pPr>
        <w:pStyle w:val="Liste2"/>
        <w:rPr>
          <w:color w:val="auto"/>
        </w:rPr>
      </w:pPr>
      <w:r w:rsidRPr="00D41570">
        <w:rPr>
          <w:color w:val="auto"/>
        </w:rPr>
        <w:t>si la troisième décimale est comprise entre 5 et 9 (ces valeurs incluses), la deuxième décimale est augmentée d'une unité (arrondi par excès).</w:t>
      </w:r>
    </w:p>
    <w:p w14:paraId="6FEDBB6C" w14:textId="669CCCFD" w:rsidR="001C09F2" w:rsidRDefault="001C09F2" w:rsidP="001C09F2">
      <w:r w:rsidRPr="00AB3F38">
        <w:t>La note sur 100 points</w:t>
      </w:r>
      <w:r w:rsidR="000C1F3B">
        <w:t xml:space="preserve"> ainsi obtenue sera pondérée à </w:t>
      </w:r>
      <w:r w:rsidR="00E70048">
        <w:t>4</w:t>
      </w:r>
      <w:r w:rsidRPr="00AB3F38">
        <w:t>0% dans le total de la note finale.</w:t>
      </w:r>
    </w:p>
    <w:p w14:paraId="69DF3682" w14:textId="77777777" w:rsidR="00F128BF" w:rsidRDefault="001E507B" w:rsidP="00F128BF">
      <w:pPr>
        <w:pStyle w:val="CSNETITRE2"/>
      </w:pPr>
      <w:bookmarkStart w:id="58" w:name="_Toc119173972"/>
      <w:r>
        <w:t>Erreur sur les prix</w:t>
      </w:r>
      <w:bookmarkEnd w:id="58"/>
    </w:p>
    <w:p w14:paraId="333B11B6" w14:textId="77777777" w:rsidR="00F128BF" w:rsidRPr="00B37FAE" w:rsidRDefault="00F128BF" w:rsidP="00F128BF">
      <w:pPr>
        <w:spacing w:line="276" w:lineRule="auto"/>
      </w:pPr>
      <w:r w:rsidRPr="00B37FAE">
        <w:t xml:space="preserve">Lors de l’examen des offres, le Pouvoir Adjudicateur se réserve la possibilité de se faire communiquer les décompositions ou sous-détails des prix ayant servi à l’élaboration des prix qu’il estimera nécessaire. </w:t>
      </w:r>
    </w:p>
    <w:p w14:paraId="7C234FF3" w14:textId="77777777" w:rsidR="00F128BF" w:rsidRPr="00B37FAE" w:rsidRDefault="00F128BF" w:rsidP="00F128BF">
      <w:pPr>
        <w:spacing w:line="276" w:lineRule="auto"/>
      </w:pPr>
      <w:r w:rsidRPr="00B37FAE">
        <w:t>Le candidat ne pourra se prévaloir d’erreurs non décelées par le représentant du Pouvoir Adjudicateur.</w:t>
      </w:r>
    </w:p>
    <w:p w14:paraId="71BF1F80" w14:textId="5F1D1917" w:rsidR="00F128BF" w:rsidRPr="00903F16" w:rsidRDefault="00F128BF" w:rsidP="00F128BF">
      <w:pPr>
        <w:spacing w:line="276" w:lineRule="auto"/>
      </w:pPr>
      <w:r w:rsidRPr="00903F16">
        <w:t>Dans le cas où des erreurs de multiplication, d’addition ou de report sera</w:t>
      </w:r>
      <w:r>
        <w:t xml:space="preserve">ient constatées dans le Détail Quantitatif Estimatif et autres pièces </w:t>
      </w:r>
      <w:r w:rsidRPr="00903F16">
        <w:t>non contractuelle</w:t>
      </w:r>
      <w:r>
        <w:t>s, ces erreurs sero</w:t>
      </w:r>
      <w:r w:rsidRPr="00903F16">
        <w:t>nt rectifiées en foncti</w:t>
      </w:r>
      <w:r>
        <w:t>on des pièces contractuelles de l’offre du candidat (Acte d’E</w:t>
      </w:r>
      <w:r w:rsidRPr="00903F16">
        <w:t xml:space="preserve">ngagement, </w:t>
      </w:r>
      <w:r>
        <w:t xml:space="preserve">Bordereau des Prix Unitaires, Mémoire Technique) directement par le </w:t>
      </w:r>
      <w:r w:rsidRPr="00B37FAE">
        <w:t>Pouvoir Adjudicateur</w:t>
      </w:r>
      <w:r>
        <w:t xml:space="preserve">, après confirmation dudit </w:t>
      </w:r>
      <w:r w:rsidRPr="00903F16">
        <w:t>candidat. Pour le jugement des offres, c’est le montant ainsi rectifié</w:t>
      </w:r>
      <w:r>
        <w:t xml:space="preserve"> qui sera pris en considération </w:t>
      </w:r>
      <w:r w:rsidRPr="007F7745">
        <w:t>par le Pouvoir Adjudicateur dans le cadre de l’analyse du critère « Prix ».</w:t>
      </w:r>
    </w:p>
    <w:p w14:paraId="4C286603" w14:textId="5C001CFF" w:rsidR="00F128BF" w:rsidRPr="00903F16" w:rsidRDefault="00F128BF" w:rsidP="00F128BF">
      <w:pPr>
        <w:spacing w:line="276" w:lineRule="auto"/>
      </w:pPr>
      <w:r w:rsidRPr="00903F16">
        <w:t xml:space="preserve">Dans le cas où des erreurs manifestement grossières </w:t>
      </w:r>
      <w:r>
        <w:t xml:space="preserve">ou purement matérielles </w:t>
      </w:r>
      <w:r w:rsidRPr="00903F16">
        <w:t>seraient constatées dans les pièces contractuelles</w:t>
      </w:r>
      <w:r>
        <w:t xml:space="preserve"> de l’offre du candidat, </w:t>
      </w:r>
      <w:r w:rsidR="00E70048">
        <w:t xml:space="preserve">le Maître d’Ouvrage demandera la régularisation de </w:t>
      </w:r>
      <w:r>
        <w:t>ces erreurs</w:t>
      </w:r>
      <w:r w:rsidRPr="00903F16">
        <w:t>.</w:t>
      </w:r>
    </w:p>
    <w:p w14:paraId="23EE1022" w14:textId="77777777" w:rsidR="001E507B" w:rsidRDefault="001E507B" w:rsidP="001E507B">
      <w:pPr>
        <w:pStyle w:val="CSNETITRE2"/>
      </w:pPr>
      <w:bookmarkStart w:id="59" w:name="_Toc119173973"/>
      <w:r>
        <w:t>Déclaration sans suite</w:t>
      </w:r>
      <w:bookmarkEnd w:id="59"/>
      <w:r>
        <w:t xml:space="preserve"> </w:t>
      </w:r>
    </w:p>
    <w:p w14:paraId="7EED9E5F" w14:textId="5BBACFB9" w:rsidR="001E507B" w:rsidRDefault="000F406D" w:rsidP="00D833CA">
      <w:pPr>
        <w:spacing w:line="276" w:lineRule="auto"/>
        <w:rPr>
          <w:noProof/>
        </w:rPr>
      </w:pPr>
      <w:r w:rsidRPr="000F406D">
        <w:rPr>
          <w:noProof/>
        </w:rPr>
        <w:t xml:space="preserve">Le </w:t>
      </w:r>
      <w:r w:rsidR="00703F62">
        <w:rPr>
          <w:noProof/>
        </w:rPr>
        <w:t>Maître d’Ouvrage</w:t>
      </w:r>
      <w:r w:rsidRPr="000F406D">
        <w:rPr>
          <w:noProof/>
        </w:rPr>
        <w:t xml:space="preserve"> peut, à tout moment, ne pas donner suite à la procédure pour des motifs d'intérêt général.</w:t>
      </w:r>
    </w:p>
    <w:p w14:paraId="7CE1A149" w14:textId="77777777" w:rsidR="001E507B" w:rsidRPr="00F50DC8" w:rsidRDefault="001E507B" w:rsidP="00D833CA">
      <w:pPr>
        <w:spacing w:line="276" w:lineRule="auto"/>
        <w:rPr>
          <w:noProof/>
        </w:rPr>
      </w:pPr>
    </w:p>
    <w:p w14:paraId="76F57A9B" w14:textId="1810B364" w:rsidR="00475B4B" w:rsidRDefault="00202440" w:rsidP="00475B4B">
      <w:pPr>
        <w:pStyle w:val="CSNETITRE1"/>
        <w:rPr>
          <w:szCs w:val="32"/>
        </w:rPr>
      </w:pPr>
      <w:bookmarkStart w:id="60" w:name="_Toc119173974"/>
      <w:r>
        <w:rPr>
          <w:szCs w:val="32"/>
        </w:rPr>
        <w:t>audition</w:t>
      </w:r>
      <w:bookmarkEnd w:id="60"/>
    </w:p>
    <w:p w14:paraId="214EB9EE" w14:textId="77777777" w:rsidR="00202440" w:rsidRDefault="00202440" w:rsidP="00202440">
      <w:pPr>
        <w:autoSpaceDE w:val="0"/>
        <w:autoSpaceDN w:val="0"/>
        <w:adjustRightInd w:val="0"/>
        <w:jc w:val="left"/>
        <w:rPr>
          <w:rFonts w:ascii="Calibri" w:hAnsi="Calibri" w:cs="Calibri"/>
        </w:rPr>
      </w:pPr>
    </w:p>
    <w:p w14:paraId="6575BF3F" w14:textId="0E31FDBC" w:rsidR="00043059" w:rsidRDefault="00202440" w:rsidP="00025C76">
      <w:pPr>
        <w:autoSpaceDE w:val="0"/>
        <w:autoSpaceDN w:val="0"/>
        <w:adjustRightInd w:val="0"/>
        <w:rPr>
          <w:rFonts w:ascii="Calibri" w:hAnsi="Calibri" w:cs="Calibri"/>
        </w:rPr>
      </w:pPr>
      <w:r>
        <w:rPr>
          <w:rFonts w:ascii="Calibri" w:hAnsi="Calibri" w:cs="Calibri"/>
        </w:rPr>
        <w:t>C</w:t>
      </w:r>
      <w:r w:rsidR="00025C76">
        <w:rPr>
          <w:rFonts w:ascii="Calibri" w:hAnsi="Calibri" w:cs="Calibri"/>
        </w:rPr>
        <w:t>hacun des soumissionnaires dont la candidature aura été admise sera convié à une audition portant sur son offre, ayant pour</w:t>
      </w:r>
      <w:r>
        <w:rPr>
          <w:rFonts w:ascii="Calibri" w:hAnsi="Calibri" w:cs="Calibri"/>
        </w:rPr>
        <w:t xml:space="preserve"> but de mieux appréhender la qualité des dispositifs qu’ils auront proposé</w:t>
      </w:r>
      <w:r w:rsidR="00025C76">
        <w:rPr>
          <w:rFonts w:ascii="Calibri" w:hAnsi="Calibri" w:cs="Calibri"/>
        </w:rPr>
        <w:t xml:space="preserve">s. A l’issue de cette audition, le Maître d’Ouvrage pourra solliciter ces soumissionnaires </w:t>
      </w:r>
      <w:r>
        <w:rPr>
          <w:rFonts w:ascii="Calibri" w:hAnsi="Calibri" w:cs="Calibri"/>
        </w:rPr>
        <w:t xml:space="preserve">afin qu’ils apportent les précisions indispensables </w:t>
      </w:r>
      <w:r w:rsidR="00025C76">
        <w:rPr>
          <w:rFonts w:ascii="Calibri" w:hAnsi="Calibri" w:cs="Calibri"/>
        </w:rPr>
        <w:t xml:space="preserve">à la bonne compréhension de </w:t>
      </w:r>
      <w:r>
        <w:rPr>
          <w:rFonts w:ascii="Calibri" w:hAnsi="Calibri" w:cs="Calibri"/>
        </w:rPr>
        <w:t>la teneur de leur proposition.</w:t>
      </w:r>
    </w:p>
    <w:p w14:paraId="55797A1A" w14:textId="77777777" w:rsidR="00025C76" w:rsidRPr="00043059" w:rsidRDefault="00025C76" w:rsidP="00025C76">
      <w:pPr>
        <w:autoSpaceDE w:val="0"/>
        <w:autoSpaceDN w:val="0"/>
        <w:adjustRightInd w:val="0"/>
        <w:jc w:val="left"/>
      </w:pPr>
    </w:p>
    <w:p w14:paraId="7136D18A" w14:textId="77777777" w:rsidR="00E369E6" w:rsidRPr="00FA53AD" w:rsidRDefault="007669DC" w:rsidP="00FA53AD">
      <w:pPr>
        <w:pStyle w:val="CSNETITRE1"/>
        <w:rPr>
          <w:szCs w:val="32"/>
        </w:rPr>
      </w:pPr>
      <w:bookmarkStart w:id="61" w:name="_Toc119173975"/>
      <w:r>
        <w:rPr>
          <w:szCs w:val="32"/>
        </w:rPr>
        <w:t>Renseignements complementaires</w:t>
      </w:r>
      <w:bookmarkEnd w:id="61"/>
    </w:p>
    <w:p w14:paraId="5F118C6C" w14:textId="77777777" w:rsidR="00FA53AD" w:rsidRDefault="00FA53AD" w:rsidP="00CE559F">
      <w:pPr>
        <w:spacing w:line="276" w:lineRule="auto"/>
      </w:pPr>
    </w:p>
    <w:p w14:paraId="3F44FDA6" w14:textId="3D62E3C2" w:rsidR="00CE559F" w:rsidRPr="00B8020F" w:rsidRDefault="00CE559F" w:rsidP="00CE559F">
      <w:pPr>
        <w:spacing w:line="276" w:lineRule="auto"/>
        <w:rPr>
          <w:rFonts w:cs="Calibri"/>
          <w:i/>
        </w:rPr>
      </w:pPr>
      <w:r w:rsidRPr="00D560EB">
        <w:t xml:space="preserve">Pour obtenir tous les renseignements administratifs ou techniques qui leur sont nécessaires au cours de leur étude, les candidats doivent faire parvenir </w:t>
      </w:r>
      <w:r w:rsidRPr="00D560EB">
        <w:rPr>
          <w:b/>
          <w:bCs/>
        </w:rPr>
        <w:t xml:space="preserve">au plus tard </w:t>
      </w:r>
      <w:r>
        <w:rPr>
          <w:b/>
          <w:bCs/>
        </w:rPr>
        <w:t>six</w:t>
      </w:r>
      <w:r w:rsidRPr="00D560EB">
        <w:rPr>
          <w:b/>
          <w:bCs/>
        </w:rPr>
        <w:t xml:space="preserve"> (</w:t>
      </w:r>
      <w:r w:rsidR="00DD6096">
        <w:rPr>
          <w:b/>
          <w:bCs/>
        </w:rPr>
        <w:t>8</w:t>
      </w:r>
      <w:r w:rsidRPr="00D560EB">
        <w:rPr>
          <w:b/>
          <w:bCs/>
        </w:rPr>
        <w:t xml:space="preserve">) jours calendaires </w:t>
      </w:r>
      <w:r w:rsidRPr="00D560EB">
        <w:rPr>
          <w:iCs/>
        </w:rPr>
        <w:t xml:space="preserve">(le délai court à compter de la date de réception de la demande par le </w:t>
      </w:r>
      <w:r w:rsidRPr="00D560EB">
        <w:t>Pouvoir Adjudicateur</w:t>
      </w:r>
      <w:r w:rsidRPr="00D560EB">
        <w:rPr>
          <w:iCs/>
        </w:rPr>
        <w:t xml:space="preserve">) </w:t>
      </w:r>
      <w:r w:rsidRPr="00D560EB">
        <w:t xml:space="preserve">avant la date limite de remise des offres, une demande en utilisant le lien „question/réponse“ figurant sur la page internet du profil acheteur suivant : </w:t>
      </w:r>
      <w:r>
        <w:rPr>
          <w:i/>
        </w:rPr>
        <w:tab/>
      </w:r>
      <w:r>
        <w:rPr>
          <w:i/>
        </w:rPr>
        <w:tab/>
      </w:r>
      <w:hyperlink r:id="rId21" w:history="1">
        <w:r w:rsidRPr="00B8020F">
          <w:rPr>
            <w:rStyle w:val="Lienhypertexte"/>
            <w:rFonts w:eastAsia="SimSun" w:cs="Calibri"/>
            <w:i/>
            <w:lang w:eastAsia="zh-CN"/>
          </w:rPr>
          <w:t>https://www.marches-publics.gouv.fr</w:t>
        </w:r>
      </w:hyperlink>
    </w:p>
    <w:p w14:paraId="54C3B128" w14:textId="77777777" w:rsidR="00CE559F" w:rsidRDefault="00CE559F" w:rsidP="00CE559F">
      <w:pPr>
        <w:spacing w:line="276" w:lineRule="auto"/>
      </w:pPr>
      <w:r w:rsidRPr="00D560EB">
        <w:t>Ce lien n’est accessible que pour les candidats ayant retiré le DCE de la présente consultation.</w:t>
      </w:r>
    </w:p>
    <w:p w14:paraId="72701BED" w14:textId="77777777" w:rsidR="00CE559F" w:rsidRDefault="00CE559F" w:rsidP="00CE559F">
      <w:pPr>
        <w:spacing w:line="276" w:lineRule="auto"/>
      </w:pPr>
      <w:r>
        <w:t>Un guide d’utilisation du profil d’acheteur est disponible à l’adresse suivante :</w:t>
      </w:r>
    </w:p>
    <w:p w14:paraId="51EC4F7A" w14:textId="77777777" w:rsidR="00CE559F" w:rsidRPr="00B8020F" w:rsidRDefault="0082178B" w:rsidP="00CE559F">
      <w:pPr>
        <w:spacing w:line="276" w:lineRule="auto"/>
        <w:jc w:val="center"/>
        <w:rPr>
          <w:rStyle w:val="Lienhypertexte"/>
          <w:rFonts w:eastAsia="SimSun" w:cs="Calibri"/>
          <w:i/>
          <w:lang w:eastAsia="zh-CN"/>
        </w:rPr>
      </w:pPr>
      <w:hyperlink r:id="rId22" w:history="1">
        <w:r w:rsidR="00CE559F" w:rsidRPr="00B8020F">
          <w:rPr>
            <w:rStyle w:val="Lienhypertexte"/>
            <w:rFonts w:eastAsia="SimSun" w:cs="Calibri"/>
            <w:i/>
            <w:lang w:eastAsia="zh-CN"/>
          </w:rPr>
          <w:t>https://www.marches-publics.gouv.fr/?page=entreprise.EntrepriseGuide</w:t>
        </w:r>
      </w:hyperlink>
    </w:p>
    <w:p w14:paraId="71B1E93D" w14:textId="392E63CF" w:rsidR="00CE559F" w:rsidRDefault="00CE559F" w:rsidP="00CE559F">
      <w:pPr>
        <w:spacing w:line="276" w:lineRule="auto"/>
      </w:pPr>
      <w:r w:rsidRPr="00D560EB">
        <w:t>Une réponse écrite sera adressée</w:t>
      </w:r>
      <w:r>
        <w:t xml:space="preserve"> à tous les candidats ayant retiré un dossier</w:t>
      </w:r>
      <w:r w:rsidR="008B38A6">
        <w:t xml:space="preserve"> et s’étant identifiés au préalable sur la  </w:t>
      </w:r>
      <w:r w:rsidR="008B38A6" w:rsidRPr="008B38A6">
        <w:t>plateforme des achats de l’État</w:t>
      </w:r>
      <w:r w:rsidRPr="00D560EB">
        <w:t xml:space="preserve"> </w:t>
      </w:r>
      <w:r w:rsidRPr="00D560EB">
        <w:rPr>
          <w:b/>
        </w:rPr>
        <w:t xml:space="preserve">au plus tard </w:t>
      </w:r>
      <w:r>
        <w:rPr>
          <w:b/>
        </w:rPr>
        <w:t>six</w:t>
      </w:r>
      <w:r w:rsidRPr="00D560EB">
        <w:rPr>
          <w:b/>
          <w:bCs/>
        </w:rPr>
        <w:t xml:space="preserve"> (</w:t>
      </w:r>
      <w:r w:rsidR="006401EC">
        <w:rPr>
          <w:b/>
          <w:bCs/>
        </w:rPr>
        <w:t>6</w:t>
      </w:r>
      <w:r w:rsidRPr="00D560EB">
        <w:rPr>
          <w:b/>
          <w:bCs/>
        </w:rPr>
        <w:t xml:space="preserve">) </w:t>
      </w:r>
      <w:r w:rsidRPr="00D560EB">
        <w:rPr>
          <w:b/>
        </w:rPr>
        <w:t>jours calendaires</w:t>
      </w:r>
      <w:r w:rsidRPr="00D560EB">
        <w:t xml:space="preserve"> avant la date limite fixée pour la réception des offres</w:t>
      </w:r>
      <w:r w:rsidR="008B38A6">
        <w:t>. Les réponses seront communiquées</w:t>
      </w:r>
      <w:r w:rsidRPr="00D560EB">
        <w:t xml:space="preserve"> sur la plateforme des achats de l’État (aucune réponse ne sera communiquée oralement). Le point de départ du délai court à compter de la date d’envoi de la réponse par le </w:t>
      </w:r>
      <w:r>
        <w:t>P</w:t>
      </w:r>
      <w:r w:rsidRPr="00D560EB">
        <w:t xml:space="preserve">ouvoir </w:t>
      </w:r>
      <w:r>
        <w:t>A</w:t>
      </w:r>
      <w:r w:rsidRPr="00D560EB">
        <w:t>djudicateur.</w:t>
      </w:r>
    </w:p>
    <w:p w14:paraId="5605649E" w14:textId="31C8D3CA" w:rsidR="00CC2F07" w:rsidRDefault="00CC2F07" w:rsidP="00CE559F">
      <w:pPr>
        <w:spacing w:line="276" w:lineRule="auto"/>
      </w:pPr>
    </w:p>
    <w:tbl>
      <w:tblPr>
        <w:tblStyle w:val="Grilledutableau"/>
        <w:tblW w:w="5000" w:type="pct"/>
        <w:jc w:val="right"/>
        <w:tblBorders>
          <w:insideV w:val="none" w:sz="0" w:space="0" w:color="auto"/>
        </w:tblBorders>
        <w:tblLook w:val="04A0" w:firstRow="1" w:lastRow="0" w:firstColumn="1" w:lastColumn="0" w:noHBand="0" w:noVBand="1"/>
      </w:tblPr>
      <w:tblGrid>
        <w:gridCol w:w="1232"/>
        <w:gridCol w:w="8112"/>
      </w:tblGrid>
      <w:tr w:rsidR="00CC2F07" w:rsidRPr="00F60AE8" w14:paraId="33D06CAA" w14:textId="77777777" w:rsidTr="003D45DD">
        <w:trPr>
          <w:jc w:val="right"/>
        </w:trPr>
        <w:tc>
          <w:tcPr>
            <w:tcW w:w="659" w:type="pct"/>
            <w:vAlign w:val="center"/>
          </w:tcPr>
          <w:p w14:paraId="47507682" w14:textId="77777777" w:rsidR="00CC2F07" w:rsidRPr="00F60AE8" w:rsidRDefault="00CC2F07" w:rsidP="008B2DE9">
            <w:pPr>
              <w:pStyle w:val="Liste2"/>
              <w:numPr>
                <w:ilvl w:val="0"/>
                <w:numId w:val="0"/>
              </w:numPr>
              <w:spacing w:line="276" w:lineRule="auto"/>
              <w:jc w:val="center"/>
              <w:rPr>
                <w:rFonts w:cstheme="minorHAnsi"/>
                <w:color w:val="auto"/>
                <w:sz w:val="22"/>
              </w:rPr>
            </w:pPr>
            <w:r w:rsidRPr="00F60AE8">
              <w:rPr>
                <w:rFonts w:cstheme="minorHAnsi"/>
                <w:noProof/>
                <w:color w:val="auto"/>
                <w:sz w:val="22"/>
                <w:lang w:eastAsia="fr-FR"/>
              </w:rPr>
              <w:drawing>
                <wp:inline distT="0" distB="0" distL="0" distR="0" wp14:anchorId="5DE58BD9" wp14:editId="4A32F8B8">
                  <wp:extent cx="389106" cy="335776"/>
                  <wp:effectExtent l="0" t="0" r="0" b="7620"/>
                  <wp:docPr id="7" name="Image 1" descr="Description : 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fficher l'image en taille réelle"/>
                          <pic:cNvPicPr>
                            <a:picLocks noChangeAspect="1" noChangeArrowheads="1"/>
                          </pic:cNvPicPr>
                        </pic:nvPicPr>
                        <pic:blipFill>
                          <a:blip r:embed="rId16" cstate="print"/>
                          <a:srcRect/>
                          <a:stretch>
                            <a:fillRect/>
                          </a:stretch>
                        </pic:blipFill>
                        <pic:spPr bwMode="auto">
                          <a:xfrm>
                            <a:off x="0" y="0"/>
                            <a:ext cx="404846" cy="349359"/>
                          </a:xfrm>
                          <a:prstGeom prst="rect">
                            <a:avLst/>
                          </a:prstGeom>
                          <a:noFill/>
                          <a:ln w="9525">
                            <a:noFill/>
                            <a:miter lim="800000"/>
                            <a:headEnd/>
                            <a:tailEnd/>
                          </a:ln>
                        </pic:spPr>
                      </pic:pic>
                    </a:graphicData>
                  </a:graphic>
                </wp:inline>
              </w:drawing>
            </w:r>
          </w:p>
        </w:tc>
        <w:tc>
          <w:tcPr>
            <w:tcW w:w="4341" w:type="pct"/>
            <w:vAlign w:val="center"/>
          </w:tcPr>
          <w:p w14:paraId="05BDAE9A" w14:textId="7F89A491" w:rsidR="00CC2F07" w:rsidRPr="00CC2F07" w:rsidRDefault="000E0143" w:rsidP="00CC2F07">
            <w:pPr>
              <w:pStyle w:val="Liste2"/>
              <w:numPr>
                <w:ilvl w:val="0"/>
                <w:numId w:val="0"/>
              </w:numPr>
              <w:spacing w:line="276" w:lineRule="auto"/>
              <w:ind w:left="567"/>
              <w:rPr>
                <w:rFonts w:cstheme="minorHAnsi"/>
                <w:color w:val="auto"/>
                <w:sz w:val="22"/>
              </w:rPr>
            </w:pPr>
            <w:r>
              <w:rPr>
                <w:rFonts w:cstheme="minorHAnsi"/>
                <w:color w:val="auto"/>
                <w:sz w:val="22"/>
              </w:rPr>
              <w:t>Postérieurement à la date limite de remise des plis</w:t>
            </w:r>
            <w:r w:rsidR="00CC2F07" w:rsidRPr="00CC2F07">
              <w:rPr>
                <w:rFonts w:cstheme="minorHAnsi"/>
                <w:color w:val="auto"/>
                <w:sz w:val="22"/>
              </w:rPr>
              <w:t>, les candidats doivent s’adresser aux coordonnées indiquées ci-dessous :</w:t>
            </w:r>
          </w:p>
          <w:p w14:paraId="58DFFF71" w14:textId="77777777" w:rsidR="00CC2F07" w:rsidRPr="00CC2F07" w:rsidRDefault="00CC2F07" w:rsidP="00CC2F07">
            <w:pPr>
              <w:pStyle w:val="Liste2"/>
              <w:spacing w:line="276" w:lineRule="auto"/>
              <w:rPr>
                <w:rFonts w:cstheme="minorHAnsi"/>
                <w:color w:val="auto"/>
                <w:sz w:val="22"/>
              </w:rPr>
            </w:pPr>
            <w:r w:rsidRPr="00CC2F07">
              <w:rPr>
                <w:rFonts w:cstheme="minorHAnsi"/>
                <w:color w:val="auto"/>
                <w:sz w:val="22"/>
              </w:rPr>
              <w:t>Téléphone : 03-44-40-74-98</w:t>
            </w:r>
          </w:p>
          <w:p w14:paraId="2457866B" w14:textId="77777777" w:rsidR="00CC2F07" w:rsidRPr="00CC2F07" w:rsidRDefault="00CC2F07" w:rsidP="00CC2F07">
            <w:pPr>
              <w:pStyle w:val="Liste2"/>
              <w:spacing w:line="276" w:lineRule="auto"/>
              <w:rPr>
                <w:rFonts w:cstheme="minorHAnsi"/>
                <w:color w:val="auto"/>
                <w:sz w:val="22"/>
              </w:rPr>
            </w:pPr>
            <w:r w:rsidRPr="00CC2F07">
              <w:rPr>
                <w:rFonts w:cstheme="minorHAnsi"/>
                <w:color w:val="auto"/>
                <w:sz w:val="22"/>
              </w:rPr>
              <w:t>Courriel : Marches@scsne.fr</w:t>
            </w:r>
          </w:p>
          <w:p w14:paraId="74DF4113" w14:textId="1E47A1D3" w:rsidR="00CC2F07" w:rsidRPr="00404F1D" w:rsidRDefault="00CC2F07" w:rsidP="00404F1D">
            <w:pPr>
              <w:pStyle w:val="Liste2"/>
              <w:numPr>
                <w:ilvl w:val="0"/>
                <w:numId w:val="0"/>
              </w:numPr>
              <w:spacing w:line="276" w:lineRule="auto"/>
              <w:ind w:left="598"/>
              <w:rPr>
                <w:rFonts w:cstheme="minorHAnsi"/>
                <w:b/>
                <w:color w:val="auto"/>
                <w:sz w:val="22"/>
              </w:rPr>
            </w:pPr>
            <w:r w:rsidRPr="00404F1D">
              <w:rPr>
                <w:rFonts w:cstheme="minorHAnsi"/>
                <w:b/>
                <w:color w:val="auto"/>
                <w:sz w:val="22"/>
              </w:rPr>
              <w:t xml:space="preserve"> à l’exclusion de t</w:t>
            </w:r>
            <w:r w:rsidR="00404F1D" w:rsidRPr="00404F1D">
              <w:rPr>
                <w:rFonts w:cstheme="minorHAnsi"/>
                <w:b/>
                <w:color w:val="auto"/>
                <w:sz w:val="22"/>
              </w:rPr>
              <w:t>out autre mode de communication</w:t>
            </w:r>
            <w:r w:rsidRPr="00404F1D">
              <w:rPr>
                <w:rFonts w:cstheme="minorHAnsi"/>
                <w:b/>
                <w:color w:val="auto"/>
                <w:sz w:val="22"/>
              </w:rPr>
              <w:t>.</w:t>
            </w:r>
          </w:p>
        </w:tc>
      </w:tr>
    </w:tbl>
    <w:p w14:paraId="6A30BC02" w14:textId="77777777" w:rsidR="00404F1D" w:rsidRDefault="00404F1D" w:rsidP="00404F1D">
      <w:pPr>
        <w:spacing w:line="276" w:lineRule="auto"/>
      </w:pPr>
      <w:bookmarkStart w:id="62" w:name="_Ref118975222"/>
    </w:p>
    <w:p w14:paraId="2D2209EA" w14:textId="4728256E" w:rsidR="00F60AE8" w:rsidRPr="00F60AE8" w:rsidRDefault="007669DC" w:rsidP="00404F1D">
      <w:pPr>
        <w:pStyle w:val="CSNETITRE1"/>
        <w:rPr>
          <w:szCs w:val="32"/>
        </w:rPr>
      </w:pPr>
      <w:bookmarkStart w:id="63" w:name="_Toc119173976"/>
      <w:r>
        <w:rPr>
          <w:szCs w:val="32"/>
        </w:rPr>
        <w:t>Production des pièces par le soumissionnaire auquel il est envisage d’attribuer le marche public</w:t>
      </w:r>
      <w:bookmarkEnd w:id="62"/>
      <w:bookmarkEnd w:id="63"/>
    </w:p>
    <w:p w14:paraId="0DE3237D" w14:textId="77777777" w:rsidR="00F60AE8" w:rsidRDefault="00F60AE8" w:rsidP="00F60AE8">
      <w:pPr>
        <w:rPr>
          <w:noProof/>
        </w:rPr>
      </w:pPr>
      <w:bookmarkStart w:id="64" w:name="_Toc450842658"/>
      <w:bookmarkStart w:id="65" w:name="_Toc450843427"/>
      <w:bookmarkStart w:id="66" w:name="_Toc450842659"/>
      <w:bookmarkStart w:id="67" w:name="_Toc450843428"/>
      <w:bookmarkStart w:id="68" w:name="_Toc450842660"/>
      <w:bookmarkStart w:id="69" w:name="_Toc450843429"/>
      <w:bookmarkStart w:id="70" w:name="_Toc450842661"/>
      <w:bookmarkStart w:id="71" w:name="_Toc450843430"/>
      <w:bookmarkStart w:id="72" w:name="_Toc450842662"/>
      <w:bookmarkStart w:id="73" w:name="_Toc450843431"/>
      <w:bookmarkStart w:id="74" w:name="_Toc450842663"/>
      <w:bookmarkStart w:id="75" w:name="_Toc450843432"/>
      <w:bookmarkEnd w:id="64"/>
      <w:bookmarkEnd w:id="65"/>
      <w:bookmarkEnd w:id="66"/>
      <w:bookmarkEnd w:id="67"/>
      <w:bookmarkEnd w:id="68"/>
      <w:bookmarkEnd w:id="69"/>
      <w:bookmarkEnd w:id="70"/>
      <w:bookmarkEnd w:id="71"/>
      <w:bookmarkEnd w:id="72"/>
      <w:bookmarkEnd w:id="73"/>
      <w:bookmarkEnd w:id="74"/>
      <w:bookmarkEnd w:id="75"/>
    </w:p>
    <w:p w14:paraId="5DD51ED7" w14:textId="77777777" w:rsidR="00F60AE8" w:rsidRPr="00F60AE8" w:rsidRDefault="00F60AE8" w:rsidP="00F60AE8">
      <w:pPr>
        <w:spacing w:line="276" w:lineRule="auto"/>
        <w:rPr>
          <w:rFonts w:cstheme="minorHAnsi"/>
        </w:rPr>
      </w:pPr>
      <w:r w:rsidRPr="00F60AE8">
        <w:rPr>
          <w:rFonts w:cstheme="minorHAnsi"/>
          <w:noProof/>
        </w:rPr>
        <w:t xml:space="preserve">Le candidat dont l'offre aura été retenue devra produire, conformément aux dispositions des articles R2144-1 et R2144-5 du Code de la Commande Publique, les certificats et attestations prévus aux articles R2143-6 à R2143-10 du même Code. </w:t>
      </w:r>
      <w:r w:rsidRPr="00F60AE8">
        <w:rPr>
          <w:rFonts w:cstheme="minorHAnsi"/>
        </w:rPr>
        <w:t>A ce titre, le Pouvoir Adjudicateur acceptera comme justificatifs et moyens de preuve suffisants des informations figurant dans la candidature :</w:t>
      </w:r>
    </w:p>
    <w:p w14:paraId="540D134B" w14:textId="77777777" w:rsidR="00F60AE8" w:rsidRPr="00F60AE8" w:rsidRDefault="00F60AE8" w:rsidP="008C684D">
      <w:pPr>
        <w:pStyle w:val="Liste2"/>
        <w:numPr>
          <w:ilvl w:val="1"/>
          <w:numId w:val="21"/>
        </w:numPr>
        <w:spacing w:line="276" w:lineRule="auto"/>
        <w:ind w:left="426"/>
        <w:rPr>
          <w:rFonts w:cstheme="minorHAnsi"/>
          <w:color w:val="auto"/>
          <w:sz w:val="22"/>
        </w:rPr>
      </w:pPr>
      <w:r w:rsidRPr="00F60AE8">
        <w:rPr>
          <w:rFonts w:cstheme="minorHAnsi"/>
          <w:color w:val="auto"/>
          <w:sz w:val="22"/>
        </w:rPr>
        <w:t>une déclaration sur l’honneur établissant que le candidat ne se trouve pas dans un cas d’interdiction de soumissionner mentionné aux articles L2141-1 à L2141-5 du Code de la Commande Publique ;</w:t>
      </w:r>
    </w:p>
    <w:p w14:paraId="14AA0163" w14:textId="77777777" w:rsidR="00F60AE8" w:rsidRPr="00F60AE8" w:rsidRDefault="00F60AE8" w:rsidP="008C684D">
      <w:pPr>
        <w:pStyle w:val="Liste2"/>
        <w:numPr>
          <w:ilvl w:val="1"/>
          <w:numId w:val="21"/>
        </w:numPr>
        <w:spacing w:line="276" w:lineRule="auto"/>
        <w:ind w:left="426"/>
        <w:rPr>
          <w:rFonts w:cstheme="minorHAnsi"/>
          <w:color w:val="auto"/>
          <w:sz w:val="22"/>
        </w:rPr>
      </w:pPr>
      <w:r w:rsidRPr="00F60AE8">
        <w:rPr>
          <w:rFonts w:cstheme="minorHAnsi"/>
          <w:color w:val="auto"/>
          <w:sz w:val="22"/>
        </w:rPr>
        <w:t>les certificats de régularité émanant des administrations fiscales et sociales ;</w:t>
      </w:r>
    </w:p>
    <w:p w14:paraId="5903DDF9" w14:textId="77777777" w:rsidR="00F60AE8" w:rsidRPr="00F60AE8" w:rsidRDefault="00F60AE8" w:rsidP="008C684D">
      <w:pPr>
        <w:pStyle w:val="Liste2"/>
        <w:numPr>
          <w:ilvl w:val="1"/>
          <w:numId w:val="21"/>
        </w:numPr>
        <w:spacing w:line="276" w:lineRule="auto"/>
        <w:ind w:left="426"/>
        <w:rPr>
          <w:rFonts w:cstheme="minorHAnsi"/>
          <w:color w:val="auto"/>
          <w:sz w:val="22"/>
        </w:rPr>
      </w:pPr>
      <w:r w:rsidRPr="00F60AE8">
        <w:rPr>
          <w:rFonts w:cstheme="minorHAnsi"/>
          <w:color w:val="auto"/>
          <w:sz w:val="22"/>
        </w:rPr>
        <w:t>le certificat attestant de la régularité de la situation de l’employeur au regard de l’obligation d’emploi des travailleurs handicapés prévue aux articles L5212-2 à L5212-5 du Code du travail délivré par l’Association de gestion du fonds de développement pour l’insertion professionnelle des handicapés (AGEFIPH) ;</w:t>
      </w:r>
    </w:p>
    <w:p w14:paraId="04677D57" w14:textId="77777777" w:rsidR="00F60AE8" w:rsidRPr="00F60AE8" w:rsidRDefault="00F60AE8" w:rsidP="008C684D">
      <w:pPr>
        <w:pStyle w:val="Liste2"/>
        <w:numPr>
          <w:ilvl w:val="1"/>
          <w:numId w:val="21"/>
        </w:numPr>
        <w:spacing w:line="276" w:lineRule="auto"/>
        <w:ind w:left="426"/>
        <w:rPr>
          <w:rFonts w:cstheme="minorHAnsi"/>
          <w:color w:val="auto"/>
          <w:sz w:val="22"/>
        </w:rPr>
      </w:pPr>
      <w:r w:rsidRPr="00F60AE8">
        <w:rPr>
          <w:rFonts w:cstheme="minorHAnsi"/>
          <w:color w:val="auto"/>
          <w:sz w:val="22"/>
        </w:rPr>
        <w:lastRenderedPageBreak/>
        <w:t>les pièces prévues aux articles R1263-12, D8222-5 ou D8222-7 ou D8254-2 à D8254-5 du Code du travail ;</w:t>
      </w:r>
    </w:p>
    <w:p w14:paraId="11402AF4" w14:textId="77777777" w:rsidR="00F60AE8" w:rsidRPr="00F60AE8" w:rsidRDefault="00F60AE8" w:rsidP="008C684D">
      <w:pPr>
        <w:pStyle w:val="Liste2"/>
        <w:numPr>
          <w:ilvl w:val="1"/>
          <w:numId w:val="21"/>
        </w:numPr>
        <w:spacing w:line="276" w:lineRule="auto"/>
        <w:ind w:left="426"/>
        <w:rPr>
          <w:rFonts w:cstheme="minorHAnsi"/>
          <w:color w:val="auto"/>
          <w:sz w:val="22"/>
        </w:rPr>
      </w:pPr>
      <w:r w:rsidRPr="00F60AE8">
        <w:rPr>
          <w:rFonts w:cstheme="minorHAnsi"/>
          <w:color w:val="auto"/>
          <w:sz w:val="22"/>
        </w:rPr>
        <w:t xml:space="preserve">un extrait K, Kbis ou D1 ; </w:t>
      </w:r>
    </w:p>
    <w:p w14:paraId="65BC9CE5" w14:textId="77777777" w:rsidR="00F60AE8" w:rsidRPr="00F60AE8" w:rsidRDefault="00F60AE8" w:rsidP="008C684D">
      <w:pPr>
        <w:pStyle w:val="Liste2"/>
        <w:numPr>
          <w:ilvl w:val="1"/>
          <w:numId w:val="21"/>
        </w:numPr>
        <w:spacing w:line="276" w:lineRule="auto"/>
        <w:ind w:left="426"/>
        <w:rPr>
          <w:rFonts w:cstheme="minorHAnsi"/>
          <w:color w:val="auto"/>
          <w:sz w:val="22"/>
        </w:rPr>
      </w:pPr>
      <w:r w:rsidRPr="00F60AE8">
        <w:rPr>
          <w:rFonts w:cstheme="minorHAnsi"/>
          <w:color w:val="auto"/>
          <w:sz w:val="22"/>
        </w:rPr>
        <w:t>une copie du jugement en cas de redressement judiciaire ;</w:t>
      </w:r>
    </w:p>
    <w:p w14:paraId="0FDBD742" w14:textId="77777777" w:rsidR="00F60AE8" w:rsidRPr="00F60AE8" w:rsidRDefault="00F60AE8" w:rsidP="008C684D">
      <w:pPr>
        <w:pStyle w:val="Liste2"/>
        <w:numPr>
          <w:ilvl w:val="1"/>
          <w:numId w:val="21"/>
        </w:numPr>
        <w:spacing w:line="276" w:lineRule="auto"/>
        <w:ind w:left="426"/>
        <w:rPr>
          <w:rFonts w:cstheme="minorHAnsi"/>
          <w:color w:val="auto"/>
          <w:sz w:val="22"/>
        </w:rPr>
      </w:pPr>
      <w:r w:rsidRPr="00F60AE8">
        <w:rPr>
          <w:rFonts w:cstheme="minorHAnsi"/>
          <w:color w:val="auto"/>
          <w:sz w:val="22"/>
        </w:rPr>
        <w:t>par ailleurs, les candidats concernés devront, en application des dispositions de l’article</w:t>
      </w:r>
      <w:r w:rsidRPr="00F60AE8">
        <w:rPr>
          <w:rFonts w:cstheme="minorHAnsi"/>
          <w:color w:val="auto"/>
          <w:sz w:val="22"/>
        </w:rPr>
        <w:br/>
        <w:t>L2312-27 du Code du travail, fournir le procès-verbal de la réunion du Comité Social et Economique (CSE) au cours de laquelle ont été examinés, d’une part, le rapport annuel faisant le bilan de la situation générale de la santé, de la sécurité et des conditions de travail dans l'entreprise et des actions menées au cours de l'année écoulée dans ces domaines et, d’autre part, le programme annuel de prévention des risques professionnels et d'amélioration des conditions de travail.</w:t>
      </w:r>
      <w:r w:rsidRPr="00F60AE8" w:rsidDel="003C70A4">
        <w:rPr>
          <w:rFonts w:cstheme="minorHAnsi"/>
          <w:color w:val="auto"/>
          <w:sz w:val="22"/>
        </w:rPr>
        <w:t xml:space="preserve"> </w:t>
      </w:r>
    </w:p>
    <w:p w14:paraId="7FDDBF30" w14:textId="77777777" w:rsidR="00F60AE8" w:rsidRPr="00F60AE8" w:rsidRDefault="00F60AE8" w:rsidP="00F60AE8">
      <w:pPr>
        <w:pStyle w:val="Liste2"/>
        <w:numPr>
          <w:ilvl w:val="0"/>
          <w:numId w:val="0"/>
        </w:numPr>
        <w:spacing w:line="276" w:lineRule="auto"/>
        <w:ind w:left="1134"/>
        <w:rPr>
          <w:rFonts w:cstheme="minorHAnsi"/>
          <w:color w:val="auto"/>
          <w:sz w:val="22"/>
        </w:rPr>
      </w:pPr>
    </w:p>
    <w:tbl>
      <w:tblPr>
        <w:tblStyle w:val="Grilledutableau"/>
        <w:tblW w:w="0" w:type="auto"/>
        <w:jc w:val="right"/>
        <w:tblBorders>
          <w:insideV w:val="none" w:sz="0" w:space="0" w:color="auto"/>
        </w:tblBorders>
        <w:tblLook w:val="04A0" w:firstRow="1" w:lastRow="0" w:firstColumn="1" w:lastColumn="0" w:noHBand="0" w:noVBand="1"/>
      </w:tblPr>
      <w:tblGrid>
        <w:gridCol w:w="1139"/>
        <w:gridCol w:w="7503"/>
      </w:tblGrid>
      <w:tr w:rsidR="00F60AE8" w:rsidRPr="00F60AE8" w14:paraId="3F359A69" w14:textId="77777777" w:rsidTr="00805EB0">
        <w:trPr>
          <w:jc w:val="right"/>
        </w:trPr>
        <w:tc>
          <w:tcPr>
            <w:tcW w:w="1139" w:type="dxa"/>
            <w:vAlign w:val="center"/>
          </w:tcPr>
          <w:p w14:paraId="78FC87D3" w14:textId="77777777" w:rsidR="00F60AE8" w:rsidRPr="00F60AE8" w:rsidRDefault="00F60AE8" w:rsidP="00F60AE8">
            <w:pPr>
              <w:pStyle w:val="Liste2"/>
              <w:numPr>
                <w:ilvl w:val="0"/>
                <w:numId w:val="0"/>
              </w:numPr>
              <w:spacing w:line="276" w:lineRule="auto"/>
              <w:jc w:val="center"/>
              <w:rPr>
                <w:rFonts w:cstheme="minorHAnsi"/>
                <w:color w:val="auto"/>
                <w:sz w:val="22"/>
              </w:rPr>
            </w:pPr>
            <w:r w:rsidRPr="00F60AE8">
              <w:rPr>
                <w:rFonts w:cstheme="minorHAnsi"/>
                <w:noProof/>
                <w:color w:val="auto"/>
                <w:sz w:val="22"/>
                <w:lang w:eastAsia="fr-FR"/>
              </w:rPr>
              <w:drawing>
                <wp:inline distT="0" distB="0" distL="0" distR="0" wp14:anchorId="60D7E204" wp14:editId="55069A67">
                  <wp:extent cx="389106" cy="335776"/>
                  <wp:effectExtent l="0" t="0" r="0" b="7620"/>
                  <wp:docPr id="3" name="Image 1" descr="Description : 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fficher l'image en taille réelle"/>
                          <pic:cNvPicPr>
                            <a:picLocks noChangeAspect="1" noChangeArrowheads="1"/>
                          </pic:cNvPicPr>
                        </pic:nvPicPr>
                        <pic:blipFill>
                          <a:blip r:embed="rId16" cstate="print"/>
                          <a:srcRect/>
                          <a:stretch>
                            <a:fillRect/>
                          </a:stretch>
                        </pic:blipFill>
                        <pic:spPr bwMode="auto">
                          <a:xfrm>
                            <a:off x="0" y="0"/>
                            <a:ext cx="404846" cy="349359"/>
                          </a:xfrm>
                          <a:prstGeom prst="rect">
                            <a:avLst/>
                          </a:prstGeom>
                          <a:noFill/>
                          <a:ln w="9525">
                            <a:noFill/>
                            <a:miter lim="800000"/>
                            <a:headEnd/>
                            <a:tailEnd/>
                          </a:ln>
                        </pic:spPr>
                      </pic:pic>
                    </a:graphicData>
                  </a:graphic>
                </wp:inline>
              </w:drawing>
            </w:r>
          </w:p>
        </w:tc>
        <w:tc>
          <w:tcPr>
            <w:tcW w:w="7503" w:type="dxa"/>
            <w:vAlign w:val="center"/>
          </w:tcPr>
          <w:p w14:paraId="0AF39F5E" w14:textId="77777777" w:rsidR="00F60AE8" w:rsidRPr="00F60AE8" w:rsidRDefault="00F60AE8" w:rsidP="00F60AE8">
            <w:pPr>
              <w:pStyle w:val="Liste2"/>
              <w:numPr>
                <w:ilvl w:val="0"/>
                <w:numId w:val="0"/>
              </w:numPr>
              <w:spacing w:line="276" w:lineRule="auto"/>
              <w:rPr>
                <w:rFonts w:cstheme="minorHAnsi"/>
                <w:color w:val="auto"/>
                <w:sz w:val="22"/>
              </w:rPr>
            </w:pPr>
            <w:r w:rsidRPr="00F60AE8">
              <w:rPr>
                <w:rFonts w:cstheme="minorHAnsi"/>
                <w:color w:val="auto"/>
                <w:sz w:val="22"/>
              </w:rPr>
              <w:t>Si le candidat dont l’offre a été retenue ne peut produire ces documents dans le délai imparti, son offre sera rejetée.</w:t>
            </w:r>
          </w:p>
        </w:tc>
      </w:tr>
    </w:tbl>
    <w:p w14:paraId="06719001" w14:textId="77777777" w:rsidR="00F60AE8" w:rsidRDefault="00F60AE8" w:rsidP="00A36C43">
      <w:pPr>
        <w:pStyle w:val="Liste2"/>
        <w:numPr>
          <w:ilvl w:val="0"/>
          <w:numId w:val="0"/>
        </w:numPr>
      </w:pPr>
    </w:p>
    <w:p w14:paraId="4DAE3261" w14:textId="77777777" w:rsidR="00F60AE8" w:rsidRDefault="00F60AE8" w:rsidP="00F60AE8">
      <w:pPr>
        <w:pStyle w:val="Liste2"/>
        <w:numPr>
          <w:ilvl w:val="0"/>
          <w:numId w:val="0"/>
        </w:numPr>
        <w:ind w:left="1134"/>
      </w:pPr>
    </w:p>
    <w:tbl>
      <w:tblPr>
        <w:tblStyle w:val="Grilledutableau"/>
        <w:tblW w:w="0" w:type="auto"/>
        <w:jc w:val="right"/>
        <w:tblBorders>
          <w:insideV w:val="none" w:sz="0" w:space="0" w:color="auto"/>
        </w:tblBorders>
        <w:tblLook w:val="04A0" w:firstRow="1" w:lastRow="0" w:firstColumn="1" w:lastColumn="0" w:noHBand="0" w:noVBand="1"/>
      </w:tblPr>
      <w:tblGrid>
        <w:gridCol w:w="1139"/>
        <w:gridCol w:w="7503"/>
      </w:tblGrid>
      <w:tr w:rsidR="00F60AE8" w14:paraId="7D58B833" w14:textId="77777777" w:rsidTr="00805EB0">
        <w:trPr>
          <w:jc w:val="right"/>
        </w:trPr>
        <w:tc>
          <w:tcPr>
            <w:tcW w:w="1139" w:type="dxa"/>
            <w:vAlign w:val="center"/>
          </w:tcPr>
          <w:p w14:paraId="2ECFA009" w14:textId="77777777" w:rsidR="00F60AE8" w:rsidRDefault="00F60AE8" w:rsidP="00805EB0">
            <w:pPr>
              <w:pStyle w:val="Liste2"/>
              <w:numPr>
                <w:ilvl w:val="0"/>
                <w:numId w:val="0"/>
              </w:numPr>
              <w:jc w:val="center"/>
            </w:pPr>
          </w:p>
        </w:tc>
        <w:tc>
          <w:tcPr>
            <w:tcW w:w="7503" w:type="dxa"/>
            <w:vAlign w:val="center"/>
          </w:tcPr>
          <w:p w14:paraId="6E3B4937" w14:textId="77777777" w:rsidR="00F60AE8" w:rsidRPr="00F33A5C" w:rsidRDefault="00F60AE8" w:rsidP="00805EB0">
            <w:pPr>
              <w:rPr>
                <w:noProof/>
                <w:sz w:val="18"/>
              </w:rPr>
            </w:pPr>
            <w:r w:rsidRPr="00F33A5C">
              <w:rPr>
                <w:noProof/>
                <w:sz w:val="18"/>
              </w:rPr>
              <w:t xml:space="preserve">Les entreprises peuvent désormais obtenir leur certificat de régularité fiscale sur le site : </w:t>
            </w:r>
          </w:p>
          <w:p w14:paraId="7374BBE9" w14:textId="77777777" w:rsidR="00F60AE8" w:rsidRPr="00F33A5C" w:rsidRDefault="0082178B" w:rsidP="00805EB0">
            <w:pPr>
              <w:rPr>
                <w:rStyle w:val="Lienhypertexte"/>
                <w:rFonts w:eastAsia="SimSun" w:cs="Calibri"/>
                <w:i/>
                <w:sz w:val="18"/>
                <w:lang w:eastAsia="zh-CN"/>
              </w:rPr>
            </w:pPr>
            <w:hyperlink r:id="rId23" w:history="1">
              <w:r w:rsidR="00F60AE8" w:rsidRPr="00F33A5C">
                <w:rPr>
                  <w:rStyle w:val="Lienhypertexte"/>
                  <w:rFonts w:eastAsia="SimSun" w:cs="Calibri"/>
                  <w:i/>
                  <w:sz w:val="18"/>
                  <w:lang w:eastAsia="zh-CN"/>
                </w:rPr>
                <w:t>https://www.impots.gouv.fr/portail/</w:t>
              </w:r>
            </w:hyperlink>
          </w:p>
          <w:p w14:paraId="6059E070" w14:textId="77777777" w:rsidR="00F60AE8" w:rsidRPr="00F33A5C" w:rsidRDefault="00F60AE8" w:rsidP="00805EB0">
            <w:pPr>
              <w:rPr>
                <w:sz w:val="18"/>
              </w:rPr>
            </w:pPr>
            <w:r w:rsidRPr="00F33A5C">
              <w:rPr>
                <w:sz w:val="18"/>
              </w:rPr>
              <w:t>Les explications à ce sujet sont disponibles à l’adresse suivante :</w:t>
            </w:r>
          </w:p>
          <w:p w14:paraId="73042032" w14:textId="77777777" w:rsidR="00F60AE8" w:rsidRPr="00F33A5C" w:rsidRDefault="0082178B" w:rsidP="00805EB0">
            <w:pPr>
              <w:rPr>
                <w:rStyle w:val="Lienhypertexte"/>
                <w:rFonts w:eastAsia="SimSun" w:cs="Calibri"/>
                <w:i/>
                <w:sz w:val="18"/>
                <w:lang w:eastAsia="zh-CN"/>
              </w:rPr>
            </w:pPr>
            <w:hyperlink r:id="rId24" w:history="1">
              <w:r w:rsidR="00F60AE8" w:rsidRPr="00F33A5C">
                <w:rPr>
                  <w:rStyle w:val="Lienhypertexte"/>
                  <w:rFonts w:eastAsia="SimSun" w:cs="Calibri"/>
                  <w:i/>
                  <w:sz w:val="18"/>
                  <w:lang w:eastAsia="zh-CN"/>
                </w:rPr>
                <w:t>https://www.impots.gouv.fr/portail/professionnel/questions/comment-obtenir-une-attestation-de-regularite-fiscale</w:t>
              </w:r>
            </w:hyperlink>
          </w:p>
          <w:p w14:paraId="00541382" w14:textId="77777777" w:rsidR="00F60AE8" w:rsidRPr="00F33A5C" w:rsidRDefault="00F60AE8" w:rsidP="00805EB0">
            <w:pPr>
              <w:rPr>
                <w:noProof/>
                <w:sz w:val="18"/>
              </w:rPr>
            </w:pPr>
            <w:r w:rsidRPr="00F33A5C">
              <w:rPr>
                <w:noProof/>
                <w:sz w:val="18"/>
              </w:rPr>
              <w:t>Toutes les entreprises peuvent, de manière dématérialisée, obtenir l’attestation de vigilance établie par le réseau des URSSAF à partir de leur espace sécurisé sur le site</w:t>
            </w:r>
            <w:r>
              <w:rPr>
                <w:noProof/>
                <w:sz w:val="18"/>
              </w:rPr>
              <w:t> :</w:t>
            </w:r>
          </w:p>
          <w:p w14:paraId="347D00B9" w14:textId="77777777" w:rsidR="00F60AE8" w:rsidRPr="00F33A5C" w:rsidRDefault="0082178B" w:rsidP="00805EB0">
            <w:pPr>
              <w:rPr>
                <w:rStyle w:val="Lienhypertexte"/>
                <w:rFonts w:eastAsia="SimSun" w:cs="Calibri"/>
                <w:i/>
                <w:sz w:val="18"/>
                <w:lang w:eastAsia="zh-CN"/>
              </w:rPr>
            </w:pPr>
            <w:hyperlink r:id="rId25" w:history="1">
              <w:r w:rsidR="00F60AE8" w:rsidRPr="00F33A5C">
                <w:rPr>
                  <w:rStyle w:val="Lienhypertexte"/>
                  <w:rFonts w:eastAsia="SimSun" w:cs="Calibri"/>
                  <w:i/>
                  <w:sz w:val="18"/>
                  <w:lang w:eastAsia="zh-CN"/>
                </w:rPr>
                <w:t>https://www.urssaf.fr/portail/home/employeur/declarer-et-payer/obtenir-une-attestation/attestation-de-vigilance.html</w:t>
              </w:r>
            </w:hyperlink>
            <w:r w:rsidR="00F60AE8" w:rsidRPr="00F33A5C">
              <w:rPr>
                <w:rStyle w:val="Lienhypertexte"/>
                <w:rFonts w:eastAsia="SimSun" w:cs="Calibri"/>
                <w:i/>
                <w:sz w:val="18"/>
                <w:lang w:eastAsia="zh-CN"/>
              </w:rPr>
              <w:t xml:space="preserve"> </w:t>
            </w:r>
          </w:p>
          <w:p w14:paraId="3A919047" w14:textId="77777777" w:rsidR="00F60AE8" w:rsidRPr="00F33A5C" w:rsidRDefault="00F60AE8" w:rsidP="00805EB0">
            <w:pPr>
              <w:rPr>
                <w:noProof/>
                <w:sz w:val="18"/>
              </w:rPr>
            </w:pPr>
            <w:r w:rsidRPr="00F33A5C">
              <w:rPr>
                <w:noProof/>
                <w:sz w:val="18"/>
              </w:rPr>
              <w:t>en cliquant sur l’onglet « Télécharger une attestation ».</w:t>
            </w:r>
          </w:p>
        </w:tc>
      </w:tr>
    </w:tbl>
    <w:p w14:paraId="4F9F7683" w14:textId="77777777" w:rsidR="00E369E6" w:rsidRDefault="00E369E6" w:rsidP="00B93C94"/>
    <w:p w14:paraId="33924E57" w14:textId="77777777" w:rsidR="00F60AE8" w:rsidRPr="00F60AE8" w:rsidRDefault="007669DC" w:rsidP="00F60AE8">
      <w:pPr>
        <w:pStyle w:val="CSNETITRE1"/>
        <w:rPr>
          <w:szCs w:val="32"/>
        </w:rPr>
      </w:pPr>
      <w:bookmarkStart w:id="76" w:name="_Toc119173977"/>
      <w:r>
        <w:rPr>
          <w:szCs w:val="32"/>
        </w:rPr>
        <w:t>Voies et Délais de recours</w:t>
      </w:r>
      <w:bookmarkEnd w:id="76"/>
    </w:p>
    <w:p w14:paraId="0ED435C7" w14:textId="77777777" w:rsidR="00F60AE8" w:rsidRDefault="00F60AE8" w:rsidP="00F60AE8">
      <w:pPr>
        <w:spacing w:line="276" w:lineRule="auto"/>
        <w:rPr>
          <w:rFonts w:cstheme="minorHAnsi"/>
          <w:noProof/>
          <w:szCs w:val="20"/>
        </w:rPr>
      </w:pPr>
    </w:p>
    <w:p w14:paraId="7E1FC26B" w14:textId="77777777" w:rsidR="00F60AE8" w:rsidRPr="00F60AE8" w:rsidRDefault="00F60AE8" w:rsidP="00F60AE8">
      <w:pPr>
        <w:spacing w:line="276" w:lineRule="auto"/>
        <w:rPr>
          <w:rFonts w:cstheme="minorHAnsi"/>
          <w:noProof/>
          <w:szCs w:val="20"/>
        </w:rPr>
      </w:pPr>
      <w:r w:rsidRPr="00F60AE8">
        <w:rPr>
          <w:rFonts w:cstheme="minorHAnsi"/>
          <w:noProof/>
          <w:szCs w:val="20"/>
        </w:rPr>
        <w:t>En cas de litiges entre les parties, la loi française est seule applicable et les juridictions administratives françaises sont seules compétentes.</w:t>
      </w:r>
    </w:p>
    <w:p w14:paraId="23728CBE" w14:textId="77777777" w:rsidR="00F60AE8" w:rsidRPr="00F60AE8" w:rsidRDefault="00F60AE8" w:rsidP="00F60AE8">
      <w:pPr>
        <w:spacing w:line="276" w:lineRule="auto"/>
        <w:rPr>
          <w:rFonts w:cstheme="minorHAnsi"/>
          <w:noProof/>
          <w:szCs w:val="20"/>
        </w:rPr>
      </w:pPr>
      <w:r w:rsidRPr="00F60AE8">
        <w:rPr>
          <w:rFonts w:cstheme="minorHAnsi"/>
          <w:noProof/>
          <w:szCs w:val="20"/>
        </w:rPr>
        <w:t xml:space="preserve">En cas d’échec de la démarche de règlement amiable, le litige est porté devant le greffe du tribunal administratif d’Amiens : </w:t>
      </w:r>
    </w:p>
    <w:p w14:paraId="7C8E10E3" w14:textId="77777777" w:rsidR="00F60AE8" w:rsidRPr="00F60AE8" w:rsidRDefault="00F60AE8" w:rsidP="00F60AE8">
      <w:pPr>
        <w:spacing w:line="276" w:lineRule="auto"/>
        <w:jc w:val="center"/>
        <w:rPr>
          <w:rFonts w:cstheme="minorHAnsi"/>
          <w:noProof/>
          <w:szCs w:val="20"/>
        </w:rPr>
      </w:pPr>
      <w:r w:rsidRPr="00F60AE8">
        <w:rPr>
          <w:rFonts w:cstheme="minorHAnsi"/>
          <w:noProof/>
          <w:szCs w:val="20"/>
        </w:rPr>
        <w:t>Tribunal Administratif d’Amiens</w:t>
      </w:r>
    </w:p>
    <w:p w14:paraId="712AD9AF" w14:textId="77777777" w:rsidR="00F60AE8" w:rsidRPr="00F60AE8" w:rsidRDefault="00F60AE8" w:rsidP="00F60AE8">
      <w:pPr>
        <w:spacing w:line="276" w:lineRule="auto"/>
        <w:jc w:val="center"/>
        <w:rPr>
          <w:rFonts w:cstheme="minorHAnsi"/>
          <w:noProof/>
          <w:szCs w:val="20"/>
        </w:rPr>
      </w:pPr>
      <w:r w:rsidRPr="00F60AE8">
        <w:rPr>
          <w:rFonts w:cstheme="minorHAnsi"/>
          <w:noProof/>
          <w:szCs w:val="20"/>
        </w:rPr>
        <w:t>14 rue Lemerchier</w:t>
      </w:r>
    </w:p>
    <w:p w14:paraId="13EE0D48" w14:textId="77777777" w:rsidR="00F60AE8" w:rsidRPr="00F60AE8" w:rsidRDefault="00F60AE8" w:rsidP="00F60AE8">
      <w:pPr>
        <w:spacing w:line="276" w:lineRule="auto"/>
        <w:jc w:val="center"/>
        <w:rPr>
          <w:rFonts w:cstheme="minorHAnsi"/>
          <w:noProof/>
          <w:szCs w:val="20"/>
        </w:rPr>
      </w:pPr>
      <w:r w:rsidRPr="00F60AE8">
        <w:rPr>
          <w:rFonts w:cstheme="minorHAnsi"/>
          <w:noProof/>
          <w:szCs w:val="20"/>
        </w:rPr>
        <w:t>CS 81114</w:t>
      </w:r>
    </w:p>
    <w:p w14:paraId="2E803CA1" w14:textId="77777777" w:rsidR="00F60AE8" w:rsidRPr="00F60AE8" w:rsidRDefault="00F60AE8" w:rsidP="00F60AE8">
      <w:pPr>
        <w:spacing w:line="276" w:lineRule="auto"/>
        <w:jc w:val="center"/>
        <w:rPr>
          <w:rFonts w:cstheme="minorHAnsi"/>
          <w:noProof/>
          <w:szCs w:val="20"/>
        </w:rPr>
      </w:pPr>
      <w:r w:rsidRPr="00F60AE8">
        <w:rPr>
          <w:rFonts w:cstheme="minorHAnsi"/>
          <w:noProof/>
          <w:szCs w:val="20"/>
        </w:rPr>
        <w:t>80011 AMIENS CEDEX 01</w:t>
      </w:r>
    </w:p>
    <w:p w14:paraId="08A2AC2E" w14:textId="77777777" w:rsidR="00F60AE8" w:rsidRPr="00F60AE8" w:rsidRDefault="00F60AE8" w:rsidP="00F60AE8">
      <w:pPr>
        <w:spacing w:line="276" w:lineRule="auto"/>
        <w:jc w:val="center"/>
        <w:rPr>
          <w:rFonts w:cstheme="minorHAnsi"/>
          <w:noProof/>
          <w:szCs w:val="20"/>
        </w:rPr>
      </w:pPr>
      <w:r w:rsidRPr="00F60AE8">
        <w:rPr>
          <w:rFonts w:cstheme="minorHAnsi"/>
          <w:noProof/>
          <w:szCs w:val="20"/>
        </w:rPr>
        <w:t>Téléphone : +33 (0)3 22 33 61 70</w:t>
      </w:r>
    </w:p>
    <w:p w14:paraId="63B42352" w14:textId="77777777" w:rsidR="00F60AE8" w:rsidRPr="00F60AE8" w:rsidRDefault="00F60AE8" w:rsidP="00F60AE8">
      <w:pPr>
        <w:spacing w:line="276" w:lineRule="auto"/>
        <w:jc w:val="center"/>
        <w:rPr>
          <w:rFonts w:cstheme="minorHAnsi"/>
          <w:noProof/>
          <w:szCs w:val="20"/>
        </w:rPr>
      </w:pPr>
      <w:r w:rsidRPr="00F60AE8">
        <w:rPr>
          <w:rFonts w:cstheme="minorHAnsi"/>
          <w:noProof/>
          <w:szCs w:val="20"/>
        </w:rPr>
        <w:t>Télécopie : +33 (0)3 22 33 61 71</w:t>
      </w:r>
    </w:p>
    <w:p w14:paraId="10BBECFD" w14:textId="77777777" w:rsidR="00F60AE8" w:rsidRPr="00F60AE8" w:rsidRDefault="00F60AE8" w:rsidP="00F60AE8">
      <w:pPr>
        <w:spacing w:line="276" w:lineRule="auto"/>
        <w:jc w:val="center"/>
        <w:rPr>
          <w:rFonts w:cstheme="minorHAnsi"/>
          <w:noProof/>
          <w:szCs w:val="20"/>
        </w:rPr>
      </w:pPr>
      <w:r w:rsidRPr="00F60AE8">
        <w:rPr>
          <w:rFonts w:cstheme="minorHAnsi"/>
          <w:noProof/>
          <w:szCs w:val="20"/>
        </w:rPr>
        <w:t>E-mail : greffe.ta-amiens@juradm.fr</w:t>
      </w:r>
    </w:p>
    <w:p w14:paraId="147F647A" w14:textId="77777777" w:rsidR="00E369E6" w:rsidRPr="00F25E01" w:rsidRDefault="00F60AE8" w:rsidP="00E369E6">
      <w:pPr>
        <w:shd w:val="clear" w:color="auto" w:fill="FFFFFF"/>
        <w:spacing w:before="120" w:after="240" w:line="238" w:lineRule="atLeast"/>
        <w:textAlignment w:val="baseline"/>
      </w:pPr>
      <w:r>
        <w:br w:type="page"/>
      </w:r>
    </w:p>
    <w:p w14:paraId="763E697E" w14:textId="77777777" w:rsidR="00410269" w:rsidRPr="00410269" w:rsidRDefault="0092312C" w:rsidP="00410269">
      <w:pPr>
        <w:pStyle w:val="CSNETITRE1"/>
        <w:numPr>
          <w:ilvl w:val="0"/>
          <w:numId w:val="0"/>
        </w:numPr>
        <w:jc w:val="center"/>
        <w:rPr>
          <w:color w:val="80BC00" w:themeColor="accent3"/>
        </w:rPr>
      </w:pPr>
      <w:bookmarkStart w:id="77" w:name="_Toc493060680"/>
      <w:bookmarkStart w:id="78" w:name="_Toc450311376"/>
      <w:bookmarkStart w:id="79" w:name="_Toc532824532"/>
      <w:bookmarkStart w:id="80" w:name="_Toc2073340"/>
      <w:bookmarkStart w:id="81" w:name="_Toc46933512"/>
      <w:bookmarkStart w:id="82" w:name="_Toc119173978"/>
      <w:r w:rsidRPr="00410269">
        <w:rPr>
          <w:color w:val="80BC00" w:themeColor="accent3"/>
        </w:rPr>
        <w:lastRenderedPageBreak/>
        <w:t>ANNEXE 1</w:t>
      </w:r>
      <w:bookmarkEnd w:id="77"/>
      <w:r w:rsidRPr="00410269">
        <w:rPr>
          <w:color w:val="80BC00" w:themeColor="accent3"/>
        </w:rPr>
        <w:t> :</w:t>
      </w:r>
      <w:bookmarkStart w:id="83" w:name="_Toc493060681"/>
      <w:bookmarkStart w:id="84" w:name="_Toc484781997"/>
      <w:bookmarkStart w:id="85" w:name="_Toc450311377"/>
      <w:bookmarkEnd w:id="78"/>
      <w:r w:rsidRPr="00410269">
        <w:rPr>
          <w:color w:val="80BC00" w:themeColor="accent3"/>
        </w:rPr>
        <w:t xml:space="preserve"> </w:t>
      </w:r>
      <w:r w:rsidRPr="00410269">
        <w:rPr>
          <w:rStyle w:val="Article1Car"/>
        </w:rPr>
        <w:t>M</w:t>
      </w:r>
      <w:r w:rsidRPr="00410269">
        <w:rPr>
          <w:color w:val="80BC00" w:themeColor="accent3"/>
        </w:rPr>
        <w:t>odalités pratiques de transmission des PLIS au format electronique</w:t>
      </w:r>
      <w:bookmarkEnd w:id="79"/>
      <w:bookmarkEnd w:id="80"/>
      <w:bookmarkEnd w:id="81"/>
      <w:bookmarkEnd w:id="83"/>
      <w:bookmarkEnd w:id="84"/>
      <w:bookmarkEnd w:id="85"/>
      <w:bookmarkEnd w:id="82"/>
    </w:p>
    <w:p w14:paraId="53620A6C" w14:textId="77777777" w:rsidR="0092312C" w:rsidRPr="00BD1A91" w:rsidRDefault="0092312C" w:rsidP="00BD1A91">
      <w:pPr>
        <w:pStyle w:val="CSNETITRE1"/>
        <w:numPr>
          <w:ilvl w:val="0"/>
          <w:numId w:val="12"/>
        </w:numPr>
      </w:pPr>
      <w:bookmarkStart w:id="86" w:name="_Toc530391166"/>
      <w:bookmarkStart w:id="87" w:name="_Toc529447322"/>
      <w:bookmarkStart w:id="88" w:name="_Toc529444168"/>
      <w:bookmarkStart w:id="89" w:name="_Toc529381525"/>
      <w:bookmarkStart w:id="90" w:name="_Toc528229133"/>
      <w:bookmarkStart w:id="91" w:name="_Toc509865900"/>
      <w:bookmarkStart w:id="92" w:name="_Toc507145680"/>
      <w:bookmarkStart w:id="93" w:name="_Toc506977995"/>
      <w:bookmarkStart w:id="94" w:name="_Toc504990107"/>
      <w:bookmarkStart w:id="95" w:name="_Toc504560555"/>
      <w:bookmarkStart w:id="96" w:name="_Toc493862235"/>
      <w:bookmarkStart w:id="97" w:name="_Toc492565218"/>
      <w:bookmarkStart w:id="98" w:name="_Toc490222706"/>
      <w:bookmarkStart w:id="99" w:name="_Toc119173979"/>
      <w:bookmarkStart w:id="100" w:name="_Toc532824533"/>
      <w:bookmarkStart w:id="101" w:name="_Toc532824467"/>
      <w:bookmarkStart w:id="102" w:name="_Toc525313373"/>
      <w:bookmarkStart w:id="103" w:name="_Toc525233726"/>
      <w:bookmarkStart w:id="104" w:name="_Toc509994826"/>
      <w:bookmarkStart w:id="105" w:name="_Toc498418516"/>
      <w:bookmarkStart w:id="106" w:name="_Toc493060682"/>
      <w:bookmarkStart w:id="107" w:name="_Toc484781998"/>
      <w:bookmarkStart w:id="108" w:name="_Toc450311378"/>
      <w:r w:rsidRPr="00BD1A91">
        <w:t>Mode de transmission</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336B09E" w14:textId="77777777" w:rsidR="0092312C" w:rsidRPr="0092312C" w:rsidRDefault="0092312C" w:rsidP="0092312C">
      <w:pPr>
        <w:pStyle w:val="CSNETITRE2"/>
      </w:pPr>
      <w:bookmarkStart w:id="109" w:name="_Toc530391167"/>
      <w:bookmarkStart w:id="110" w:name="_Toc529447323"/>
      <w:bookmarkStart w:id="111" w:name="_Toc529444169"/>
      <w:bookmarkStart w:id="112" w:name="_Toc529381526"/>
      <w:bookmarkStart w:id="113" w:name="_Toc528229134"/>
      <w:bookmarkStart w:id="114" w:name="_Toc509865901"/>
      <w:bookmarkStart w:id="115" w:name="_Toc507145681"/>
      <w:bookmarkStart w:id="116" w:name="_Toc506977996"/>
      <w:bookmarkStart w:id="117" w:name="_Toc504990108"/>
      <w:bookmarkStart w:id="118" w:name="_Toc504560556"/>
      <w:bookmarkStart w:id="119" w:name="_Toc493862236"/>
      <w:bookmarkStart w:id="120" w:name="_Toc492565219"/>
      <w:bookmarkStart w:id="121" w:name="_Toc490222707"/>
      <w:bookmarkStart w:id="122" w:name="_Toc119173980"/>
      <w:r w:rsidRPr="0092312C">
        <w:t>Généralités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14228002" w14:textId="77777777" w:rsidR="0092312C" w:rsidRPr="00CF3076" w:rsidRDefault="0092312C" w:rsidP="00CF3076">
      <w:pPr>
        <w:pStyle w:val="CSNETitre3"/>
        <w:rPr>
          <w:sz w:val="24"/>
          <w:szCs w:val="24"/>
        </w:rPr>
      </w:pPr>
      <w:bookmarkStart w:id="123" w:name="_Toc2073341"/>
      <w:bookmarkStart w:id="124" w:name="_Toc119173981"/>
      <w:r w:rsidRPr="00CF3076">
        <w:rPr>
          <w:sz w:val="24"/>
          <w:szCs w:val="24"/>
        </w:rPr>
        <w:t>Date limite de remise des offres :</w:t>
      </w:r>
      <w:bookmarkEnd w:id="123"/>
      <w:bookmarkEnd w:id="124"/>
    </w:p>
    <w:p w14:paraId="0A9581B4" w14:textId="77777777" w:rsidR="0092312C" w:rsidRPr="007118C4" w:rsidRDefault="0092312C" w:rsidP="002B741F">
      <w:r w:rsidRPr="007118C4">
        <w:t>Les opérateurs économiques devront déposer leur candidature sur la plateforme PLACE au plus tard aux date et heure limites de remise des candidatures figurant sur la page de garde du présent document. S’agissant des offres initiales, les opérateurs économiques devront les déposer au plus tard aux jour et heure limites indiqués dans la lettre d’invitation à soumissionner.</w:t>
      </w:r>
    </w:p>
    <w:p w14:paraId="249D99FA" w14:textId="77777777" w:rsidR="0092312C" w:rsidRPr="00CF3076" w:rsidRDefault="0092312C" w:rsidP="00CF3076">
      <w:pPr>
        <w:pStyle w:val="CSNETitre3"/>
        <w:rPr>
          <w:sz w:val="24"/>
          <w:szCs w:val="24"/>
        </w:rPr>
      </w:pPr>
      <w:bookmarkStart w:id="125" w:name="_Toc2073342"/>
      <w:bookmarkStart w:id="126" w:name="_Toc119173982"/>
      <w:r w:rsidRPr="00CF3076">
        <w:rPr>
          <w:sz w:val="24"/>
          <w:szCs w:val="24"/>
        </w:rPr>
        <w:t>Modalités de transmission :</w:t>
      </w:r>
      <w:bookmarkEnd w:id="125"/>
      <w:bookmarkEnd w:id="126"/>
    </w:p>
    <w:p w14:paraId="4D28DF84" w14:textId="77777777" w:rsidR="0092312C" w:rsidRPr="007118C4" w:rsidRDefault="0092312C" w:rsidP="002B741F">
      <w:r w:rsidRPr="007118C4">
        <w:t>Pour transmettre leur candidature et leur</w:t>
      </w:r>
      <w:r w:rsidRPr="0011752C">
        <w:t>s</w:t>
      </w:r>
      <w:r w:rsidRPr="007118C4">
        <w:t xml:space="preserve"> offre</w:t>
      </w:r>
      <w:r w:rsidRPr="0011752C">
        <w:t>s</w:t>
      </w:r>
      <w:r w:rsidRPr="007118C4">
        <w:t xml:space="preserve"> par voie électronique, via la plate-forme des marchés PLACE, les opérateurs économiques devront :</w:t>
      </w:r>
    </w:p>
    <w:p w14:paraId="3413A0AC" w14:textId="77777777" w:rsidR="0092312C" w:rsidRPr="002B741F" w:rsidRDefault="0092312C" w:rsidP="002B741F">
      <w:pPr>
        <w:rPr>
          <w:i/>
          <w:color w:val="2E74B5"/>
        </w:rPr>
      </w:pPr>
      <w:r w:rsidRPr="007118C4">
        <w:t xml:space="preserve">s’inscrire sur la plate-forme de gestion des marchés publics PLACE accessible à l'adresse : </w:t>
      </w:r>
      <w:hyperlink r:id="rId26" w:history="1">
        <w:r w:rsidRPr="007118C4">
          <w:rPr>
            <w:rFonts w:eastAsia="SimSun"/>
            <w:color w:val="0000FF"/>
            <w:u w:val="single"/>
            <w:lang w:eastAsia="zh-CN"/>
          </w:rPr>
          <w:t>http://www.marches-publics.gouv.fr</w:t>
        </w:r>
      </w:hyperlink>
      <w:r w:rsidR="002B741F">
        <w:rPr>
          <w:i/>
          <w:color w:val="2E74B5"/>
        </w:rPr>
        <w:t xml:space="preserve">  </w:t>
      </w:r>
      <w:r w:rsidRPr="007118C4">
        <w:t>être titulaire d’un certificat de signature électronique</w:t>
      </w:r>
      <w:r>
        <w:t xml:space="preserve"> au moins en cas d’attribution </w:t>
      </w:r>
      <w:r w:rsidRPr="00395A5E">
        <w:t>de l’accord-cadre</w:t>
      </w:r>
      <w:r>
        <w:t xml:space="preserve"> au candidat/soumissionnaire, pour la signature de son offre</w:t>
      </w:r>
      <w:r w:rsidRPr="007118C4">
        <w:t>.</w:t>
      </w:r>
    </w:p>
    <w:p w14:paraId="7007B887" w14:textId="77777777" w:rsidR="0092312C" w:rsidRPr="00CF3076" w:rsidRDefault="0092312C" w:rsidP="00CF3076">
      <w:pPr>
        <w:pStyle w:val="CSNETitre3"/>
        <w:rPr>
          <w:sz w:val="24"/>
          <w:szCs w:val="24"/>
        </w:rPr>
      </w:pPr>
      <w:bookmarkStart w:id="127" w:name="_Toc2073343"/>
      <w:bookmarkStart w:id="128" w:name="_Toc119173983"/>
      <w:r w:rsidRPr="00CF3076">
        <w:rPr>
          <w:sz w:val="24"/>
          <w:szCs w:val="24"/>
        </w:rPr>
        <w:t>Références réglementaires :</w:t>
      </w:r>
      <w:bookmarkEnd w:id="127"/>
      <w:bookmarkEnd w:id="128"/>
    </w:p>
    <w:p w14:paraId="733F0F45" w14:textId="77777777" w:rsidR="0092312C" w:rsidRPr="002B741F" w:rsidRDefault="0092312C" w:rsidP="008C684D">
      <w:pPr>
        <w:numPr>
          <w:ilvl w:val="0"/>
          <w:numId w:val="7"/>
        </w:numPr>
        <w:autoSpaceDE w:val="0"/>
        <w:autoSpaceDN w:val="0"/>
        <w:adjustRightInd w:val="0"/>
        <w:spacing w:before="80"/>
        <w:ind w:left="142" w:hanging="142"/>
        <w:rPr>
          <w:rFonts w:eastAsia="Calibri" w:cstheme="minorHAnsi"/>
        </w:rPr>
      </w:pPr>
      <w:r w:rsidRPr="002B741F">
        <w:rPr>
          <w:rFonts w:eastAsia="Calibri" w:cstheme="minorHAnsi"/>
        </w:rPr>
        <w:t xml:space="preserve">arrêté du 22 mars 2019 relatif à la signature électronique des contrats de la commande publique </w:t>
      </w:r>
      <w:hyperlink r:id="rId27" w:history="1">
        <w:r w:rsidRPr="002B741F">
          <w:rPr>
            <w:rFonts w:eastAsia="SimSun" w:cstheme="minorHAnsi"/>
            <w:u w:val="single"/>
            <w:lang w:eastAsia="zh-CN"/>
          </w:rPr>
          <w:t>https://www.legifrance.gouv.fr/eli/arrete/2018/4/12/ECOM1800780A/jo/texte</w:t>
        </w:r>
      </w:hyperlink>
      <w:r w:rsidRPr="002B741F">
        <w:rPr>
          <w:rFonts w:eastAsia="Calibri" w:cstheme="minorHAnsi"/>
          <w:i/>
        </w:rPr>
        <w:t>,</w:t>
      </w:r>
      <w:r w:rsidRPr="002B741F">
        <w:rPr>
          <w:rFonts w:eastAsia="Calibri" w:cstheme="minorHAnsi"/>
        </w:rPr>
        <w:t xml:space="preserve"> </w:t>
      </w:r>
    </w:p>
    <w:p w14:paraId="5539D090" w14:textId="77777777" w:rsidR="0092312C" w:rsidRPr="002B741F" w:rsidRDefault="0092312C" w:rsidP="008C684D">
      <w:pPr>
        <w:numPr>
          <w:ilvl w:val="0"/>
          <w:numId w:val="7"/>
        </w:numPr>
        <w:autoSpaceDE w:val="0"/>
        <w:autoSpaceDN w:val="0"/>
        <w:adjustRightInd w:val="0"/>
        <w:spacing w:before="80" w:after="90"/>
        <w:ind w:left="142" w:hanging="142"/>
        <w:rPr>
          <w:rFonts w:eastAsia="Calibri" w:cstheme="minorHAnsi"/>
          <w:i/>
        </w:rPr>
      </w:pPr>
      <w:r w:rsidRPr="002B741F">
        <w:rPr>
          <w:rFonts w:eastAsia="Calibri" w:cstheme="minorHAnsi"/>
        </w:rPr>
        <w:t xml:space="preserve">règlement n° 910/2014 du Parlement européen et du Conseil du 23 juillet 2014 sur l'identification électronique et les services de confiance pour les transactions électroniques au sein du marché intérieur </w:t>
      </w:r>
      <w:hyperlink r:id="rId28" w:history="1">
        <w:r w:rsidRPr="002B741F">
          <w:rPr>
            <w:rFonts w:eastAsia="SimSun" w:cstheme="minorHAnsi"/>
            <w:u w:val="single"/>
            <w:lang w:eastAsia="zh-CN"/>
          </w:rPr>
          <w:t>https://eur-lex.europa.eu/legal-content/FR/TXT/HTML/?uri=CELEX:32014R0910&amp;from=FR</w:t>
        </w:r>
      </w:hyperlink>
      <w:r w:rsidRPr="002B741F">
        <w:rPr>
          <w:rFonts w:eastAsia="Calibri" w:cstheme="minorHAnsi"/>
          <w:i/>
        </w:rPr>
        <w:t xml:space="preserve"> </w:t>
      </w:r>
      <w:r w:rsidRPr="002B741F">
        <w:rPr>
          <w:rFonts w:eastAsia="Calibri" w:cstheme="minorHAnsi"/>
        </w:rPr>
        <w:t>(Règlement eIDAS)</w:t>
      </w:r>
      <w:r w:rsidRPr="002B741F">
        <w:rPr>
          <w:rFonts w:eastAsia="Calibri" w:cstheme="minorHAnsi"/>
          <w:i/>
        </w:rPr>
        <w:t xml:space="preserve">, </w:t>
      </w:r>
    </w:p>
    <w:p w14:paraId="2602FFF4" w14:textId="77777777" w:rsidR="0092312C" w:rsidRPr="0092312C" w:rsidRDefault="0092312C" w:rsidP="0092312C">
      <w:pPr>
        <w:pStyle w:val="CSNETITRE2"/>
      </w:pPr>
      <w:bookmarkStart w:id="129" w:name="_Toc530391168"/>
      <w:bookmarkStart w:id="130" w:name="_Toc529447324"/>
      <w:bookmarkStart w:id="131" w:name="_Toc529444170"/>
      <w:bookmarkStart w:id="132" w:name="_Toc529381527"/>
      <w:bookmarkStart w:id="133" w:name="_Toc528229135"/>
      <w:bookmarkStart w:id="134" w:name="_Toc509865902"/>
      <w:bookmarkStart w:id="135" w:name="_Toc507145682"/>
      <w:bookmarkStart w:id="136" w:name="_Toc506977997"/>
      <w:bookmarkStart w:id="137" w:name="_Toc504990109"/>
      <w:bookmarkStart w:id="138" w:name="_Toc504560557"/>
      <w:bookmarkStart w:id="139" w:name="_Toc493862237"/>
      <w:bookmarkStart w:id="140" w:name="_Toc492565220"/>
      <w:bookmarkStart w:id="141" w:name="_Toc490222708"/>
      <w:bookmarkStart w:id="142" w:name="_Toc119173984"/>
      <w:r w:rsidRPr="0092312C">
        <w:t>Exigences relatives aux certificats de signature du signataire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C21ECBC" w14:textId="77777777" w:rsidR="0092312C" w:rsidRPr="002B741F" w:rsidRDefault="0092312C" w:rsidP="0092312C">
      <w:pPr>
        <w:spacing w:before="80" w:after="80" w:line="276" w:lineRule="auto"/>
        <w:rPr>
          <w:rFonts w:eastAsia="Arial" w:cstheme="minorHAnsi"/>
        </w:rPr>
      </w:pPr>
      <w:r w:rsidRPr="002B741F">
        <w:rPr>
          <w:rFonts w:eastAsia="Arial" w:cstheme="minorHAnsi"/>
        </w:rPr>
        <w:t>Le certificat de signature de l’opérateur économique respecte l’un des deux cas suivants :</w:t>
      </w:r>
    </w:p>
    <w:p w14:paraId="1C83D1E0" w14:textId="77777777" w:rsidR="0092312C" w:rsidRPr="002B741F" w:rsidRDefault="0092312C" w:rsidP="0092312C">
      <w:pPr>
        <w:spacing w:before="80" w:after="80" w:line="276" w:lineRule="auto"/>
        <w:rPr>
          <w:rFonts w:eastAsia="Arial" w:cstheme="minorHAnsi"/>
        </w:rPr>
      </w:pPr>
      <w:r w:rsidRPr="007118C4">
        <w:rPr>
          <w:rFonts w:ascii="Arial" w:eastAsia="Arial" w:hAnsi="Arial" w:cs="Times New Roman"/>
          <w:b/>
          <w:color w:val="000000"/>
          <w:sz w:val="20"/>
          <w:szCs w:val="18"/>
          <w:u w:val="single"/>
        </w:rPr>
        <w:t>1</w:t>
      </w:r>
      <w:r w:rsidRPr="007118C4">
        <w:rPr>
          <w:rFonts w:ascii="Arial" w:eastAsia="Arial" w:hAnsi="Arial" w:cs="Times New Roman"/>
          <w:b/>
          <w:color w:val="000000"/>
          <w:sz w:val="20"/>
          <w:szCs w:val="18"/>
          <w:u w:val="single"/>
          <w:vertAlign w:val="superscript"/>
        </w:rPr>
        <w:t>er</w:t>
      </w:r>
      <w:r w:rsidRPr="007118C4">
        <w:rPr>
          <w:rFonts w:ascii="Arial" w:eastAsia="Arial" w:hAnsi="Arial" w:cs="Times New Roman"/>
          <w:b/>
          <w:color w:val="000000"/>
          <w:sz w:val="20"/>
          <w:szCs w:val="18"/>
          <w:u w:val="single"/>
        </w:rPr>
        <w:t xml:space="preserve"> cas</w:t>
      </w:r>
      <w:r w:rsidRPr="007118C4">
        <w:rPr>
          <w:rFonts w:ascii="Arial" w:eastAsia="Arial" w:hAnsi="Arial" w:cs="Times New Roman"/>
          <w:color w:val="000000"/>
          <w:sz w:val="20"/>
          <w:szCs w:val="18"/>
        </w:rPr>
        <w:t xml:space="preserve"> : </w:t>
      </w:r>
      <w:r w:rsidRPr="002B741F">
        <w:rPr>
          <w:rFonts w:eastAsia="Arial" w:cstheme="minorHAnsi"/>
        </w:rPr>
        <w:t>Certificat délivré par un prestataire de service de confiance qualifié répondant aux exigences du Règlement eIDAS</w:t>
      </w:r>
    </w:p>
    <w:p w14:paraId="08172F3B" w14:textId="77777777" w:rsidR="0092312C" w:rsidRPr="002B741F" w:rsidRDefault="0092312C" w:rsidP="0092312C">
      <w:pPr>
        <w:spacing w:before="80" w:after="80" w:line="276" w:lineRule="auto"/>
        <w:rPr>
          <w:rFonts w:eastAsia="Arial" w:cstheme="minorHAnsi"/>
        </w:rPr>
      </w:pPr>
      <w:r w:rsidRPr="002B741F">
        <w:rPr>
          <w:rFonts w:eastAsia="Arial" w:cstheme="minorHAnsi"/>
        </w:rPr>
        <w:t xml:space="preserve">La liste de ces prestataires de service de confiance est établie par la Commission Européenne et est disponible via le lien suivant : </w:t>
      </w:r>
      <w:hyperlink r:id="rId29" w:anchor="/" w:history="1">
        <w:r w:rsidRPr="002B741F">
          <w:rPr>
            <w:rFonts w:eastAsia="Arial" w:cstheme="minorHAnsi"/>
            <w:u w:val="single"/>
          </w:rPr>
          <w:t>https://webgate.ec.europa.eu/tl-browser/#/</w:t>
        </w:r>
      </w:hyperlink>
    </w:p>
    <w:p w14:paraId="7C7BAE64" w14:textId="77777777" w:rsidR="0092312C" w:rsidRPr="002B741F" w:rsidRDefault="0092312C" w:rsidP="0092312C">
      <w:pPr>
        <w:spacing w:before="80" w:after="80" w:line="276" w:lineRule="auto"/>
        <w:rPr>
          <w:rFonts w:eastAsia="Arial" w:cstheme="minorHAnsi"/>
        </w:rPr>
      </w:pPr>
      <w:r w:rsidRPr="002B741F">
        <w:rPr>
          <w:rFonts w:eastAsia="Arial" w:cstheme="minorHAnsi"/>
        </w:rPr>
        <w:t>Dans ce cas, l’opérateur économique n'a aucun justificatif à fournir sur le certificat de signature utilisé pour signer sa réponse.</w:t>
      </w:r>
    </w:p>
    <w:p w14:paraId="2FDE28DE" w14:textId="77777777" w:rsidR="0092312C" w:rsidRDefault="0092312C" w:rsidP="0092312C">
      <w:pPr>
        <w:spacing w:before="80" w:after="80" w:line="276" w:lineRule="auto"/>
        <w:rPr>
          <w:rFonts w:ascii="Arial" w:eastAsia="Arial" w:hAnsi="Arial" w:cs="Calibri"/>
          <w:color w:val="404040"/>
          <w:sz w:val="20"/>
          <w:szCs w:val="18"/>
        </w:rPr>
      </w:pPr>
    </w:p>
    <w:p w14:paraId="78D28DE8" w14:textId="77777777" w:rsidR="0092312C" w:rsidRDefault="0092312C" w:rsidP="0092312C">
      <w:pPr>
        <w:spacing w:before="80" w:after="80" w:line="276" w:lineRule="auto"/>
        <w:rPr>
          <w:rFonts w:ascii="Arial" w:eastAsia="Arial" w:hAnsi="Arial" w:cs="Calibri"/>
          <w:color w:val="404040"/>
          <w:sz w:val="20"/>
          <w:szCs w:val="18"/>
        </w:rPr>
      </w:pPr>
    </w:p>
    <w:p w14:paraId="409B0580" w14:textId="77777777" w:rsidR="0092312C" w:rsidRDefault="0092312C" w:rsidP="0092312C">
      <w:pPr>
        <w:spacing w:before="80" w:after="80" w:line="276" w:lineRule="auto"/>
        <w:rPr>
          <w:rFonts w:ascii="Arial" w:eastAsia="Arial" w:hAnsi="Arial" w:cs="Calibri"/>
          <w:color w:val="404040"/>
          <w:sz w:val="20"/>
          <w:szCs w:val="18"/>
        </w:rPr>
      </w:pPr>
    </w:p>
    <w:p w14:paraId="162EE209" w14:textId="77777777" w:rsidR="0092312C" w:rsidRDefault="0092312C" w:rsidP="0092312C">
      <w:pPr>
        <w:spacing w:before="80" w:after="80" w:line="276" w:lineRule="auto"/>
        <w:rPr>
          <w:rFonts w:ascii="Arial" w:eastAsia="Arial" w:hAnsi="Arial" w:cs="Calibri"/>
          <w:color w:val="404040"/>
          <w:sz w:val="20"/>
          <w:szCs w:val="18"/>
        </w:rPr>
      </w:pPr>
    </w:p>
    <w:p w14:paraId="1FA22147" w14:textId="77777777" w:rsidR="0092312C" w:rsidRPr="007118C4" w:rsidRDefault="0092312C" w:rsidP="0092312C">
      <w:pPr>
        <w:spacing w:before="80" w:after="80" w:line="276" w:lineRule="auto"/>
        <w:rPr>
          <w:rFonts w:ascii="Arial" w:eastAsia="Arial" w:hAnsi="Arial" w:cs="Calibri"/>
          <w:color w:val="404040"/>
          <w:sz w:val="20"/>
          <w:szCs w:val="18"/>
        </w:rPr>
      </w:pPr>
    </w:p>
    <w:p w14:paraId="29E36880" w14:textId="77777777" w:rsidR="0092312C" w:rsidRPr="002B741F" w:rsidRDefault="0092312C" w:rsidP="0092312C">
      <w:pPr>
        <w:spacing w:before="80" w:after="80" w:line="276" w:lineRule="auto"/>
        <w:rPr>
          <w:rFonts w:eastAsia="Arial" w:cstheme="minorHAnsi"/>
          <w:color w:val="000000"/>
        </w:rPr>
      </w:pPr>
      <w:r w:rsidRPr="007118C4">
        <w:rPr>
          <w:rFonts w:ascii="Arial" w:eastAsia="Arial" w:hAnsi="Arial" w:cs="Times New Roman"/>
          <w:b/>
          <w:color w:val="000000"/>
          <w:sz w:val="20"/>
          <w:szCs w:val="18"/>
          <w:u w:val="single"/>
        </w:rPr>
        <w:t>2</w:t>
      </w:r>
      <w:r w:rsidRPr="007118C4">
        <w:rPr>
          <w:rFonts w:ascii="Arial" w:eastAsia="Arial" w:hAnsi="Arial" w:cs="Times New Roman"/>
          <w:b/>
          <w:color w:val="000000"/>
          <w:sz w:val="20"/>
          <w:szCs w:val="18"/>
          <w:u w:val="single"/>
          <w:vertAlign w:val="superscript"/>
        </w:rPr>
        <w:t>ème</w:t>
      </w:r>
      <w:r w:rsidRPr="007118C4">
        <w:rPr>
          <w:rFonts w:ascii="Arial" w:eastAsia="Arial" w:hAnsi="Arial" w:cs="Times New Roman"/>
          <w:b/>
          <w:color w:val="000000"/>
          <w:sz w:val="20"/>
          <w:szCs w:val="18"/>
          <w:u w:val="single"/>
        </w:rPr>
        <w:t xml:space="preserve"> cas</w:t>
      </w:r>
      <w:r w:rsidRPr="007118C4">
        <w:rPr>
          <w:rFonts w:ascii="Arial" w:eastAsia="Arial" w:hAnsi="Arial" w:cs="Calibri"/>
          <w:color w:val="404040"/>
          <w:sz w:val="20"/>
          <w:szCs w:val="18"/>
        </w:rPr>
        <w:t xml:space="preserve"> : </w:t>
      </w:r>
      <w:r w:rsidRPr="002B741F">
        <w:rPr>
          <w:rFonts w:eastAsia="Arial" w:cstheme="minorHAnsi"/>
          <w:color w:val="000000"/>
        </w:rPr>
        <w:t>Certificat délivré par une autorité de certification, française ou étrangère, qui répond aux exigences équivalentes à l'annexe I du règlement eIDAS susvisé.</w:t>
      </w:r>
    </w:p>
    <w:p w14:paraId="142CC9D3" w14:textId="77777777" w:rsidR="0092312C" w:rsidRPr="002B741F" w:rsidRDefault="0092312C" w:rsidP="0092312C">
      <w:pPr>
        <w:autoSpaceDE w:val="0"/>
        <w:autoSpaceDN w:val="0"/>
        <w:adjustRightInd w:val="0"/>
        <w:rPr>
          <w:rFonts w:eastAsia="Calibri" w:cstheme="minorHAnsi"/>
          <w:color w:val="000000"/>
        </w:rPr>
      </w:pPr>
      <w:r w:rsidRPr="002B741F">
        <w:rPr>
          <w:rFonts w:eastAsia="Calibri" w:cstheme="minorHAnsi"/>
          <w:color w:val="000000"/>
        </w:rPr>
        <w:t xml:space="preserve">La plateforme de dématérialisation PLACE accepte tous certificats de signature électronique présentant des conditions de sécurité équivalentes aux exigences du règlement eIDAS ou à celles du référentiel général de sécurité (RGS) pour les certificats émis avant le 01/10/2018 et ce jusqu’à leur date de fin de validité. </w:t>
      </w:r>
    </w:p>
    <w:p w14:paraId="15475688" w14:textId="77777777" w:rsidR="0092312C" w:rsidRPr="002B741F" w:rsidRDefault="0092312C" w:rsidP="0092312C">
      <w:pPr>
        <w:autoSpaceDE w:val="0"/>
        <w:autoSpaceDN w:val="0"/>
        <w:adjustRightInd w:val="0"/>
        <w:rPr>
          <w:rFonts w:eastAsia="Calibri" w:cstheme="minorHAnsi"/>
          <w:color w:val="000000"/>
        </w:rPr>
      </w:pPr>
      <w:r w:rsidRPr="002B741F">
        <w:rPr>
          <w:rFonts w:eastAsia="Calibri" w:cstheme="minorHAnsi"/>
          <w:color w:val="000000"/>
        </w:rPr>
        <w:t>L’opérateur économique s’assure que le certificat qu’il utilise est au moins conforme au niveau de sécurité préconisé sur le profil d’acheteur et donne tous les éléments nécessaires à la vérification de cette conformité par l’acheteur.</w:t>
      </w:r>
    </w:p>
    <w:p w14:paraId="6CCF5FB1" w14:textId="77777777" w:rsidR="0092312C" w:rsidRDefault="0092312C" w:rsidP="0092312C">
      <w:pPr>
        <w:autoSpaceDE w:val="0"/>
        <w:autoSpaceDN w:val="0"/>
        <w:adjustRightInd w:val="0"/>
        <w:rPr>
          <w:rFonts w:ascii="Arial" w:eastAsia="Calibri" w:hAnsi="Arial" w:cs="Arial"/>
          <w:sz w:val="20"/>
          <w:szCs w:val="20"/>
          <w:u w:val="single"/>
        </w:rPr>
      </w:pPr>
    </w:p>
    <w:p w14:paraId="6A9703A8" w14:textId="77777777" w:rsidR="0092312C" w:rsidRPr="002B741F" w:rsidRDefault="0092312C" w:rsidP="0092312C">
      <w:pPr>
        <w:autoSpaceDE w:val="0"/>
        <w:autoSpaceDN w:val="0"/>
        <w:adjustRightInd w:val="0"/>
        <w:rPr>
          <w:rFonts w:eastAsia="Calibri" w:cstheme="minorHAnsi"/>
          <w:u w:val="single"/>
        </w:rPr>
      </w:pPr>
      <w:r w:rsidRPr="002B741F">
        <w:rPr>
          <w:rFonts w:eastAsia="Calibri" w:cstheme="minorHAnsi"/>
          <w:u w:val="single"/>
        </w:rPr>
        <w:t xml:space="preserve">Justificatifs de conformité à produire </w:t>
      </w:r>
    </w:p>
    <w:p w14:paraId="3E7435B3" w14:textId="77777777" w:rsidR="0092312C" w:rsidRPr="002B741F" w:rsidRDefault="0092312C" w:rsidP="0092312C">
      <w:pPr>
        <w:autoSpaceDE w:val="0"/>
        <w:autoSpaceDN w:val="0"/>
        <w:adjustRightInd w:val="0"/>
        <w:rPr>
          <w:rFonts w:eastAsia="Calibri" w:cstheme="minorHAnsi"/>
        </w:rPr>
      </w:pPr>
    </w:p>
    <w:p w14:paraId="0B3CDC90" w14:textId="77777777" w:rsidR="0092312C" w:rsidRPr="002B741F" w:rsidRDefault="0092312C" w:rsidP="0092312C">
      <w:pPr>
        <w:autoSpaceDE w:val="0"/>
        <w:autoSpaceDN w:val="0"/>
        <w:adjustRightInd w:val="0"/>
        <w:rPr>
          <w:rFonts w:eastAsia="Calibri" w:cstheme="minorHAnsi"/>
        </w:rPr>
      </w:pPr>
      <w:r w:rsidRPr="002B741F">
        <w:rPr>
          <w:rFonts w:eastAsia="Calibri" w:cstheme="minorHAnsi"/>
        </w:rPr>
        <w:t xml:space="preserve">L’opérateur économique transmet les informations suivantes : </w:t>
      </w:r>
    </w:p>
    <w:p w14:paraId="38E62D32" w14:textId="77777777" w:rsidR="0092312C" w:rsidRPr="002B741F" w:rsidRDefault="0092312C" w:rsidP="008C684D">
      <w:pPr>
        <w:numPr>
          <w:ilvl w:val="0"/>
          <w:numId w:val="8"/>
        </w:numPr>
        <w:autoSpaceDE w:val="0"/>
        <w:autoSpaceDN w:val="0"/>
        <w:adjustRightInd w:val="0"/>
        <w:spacing w:before="80" w:after="60"/>
        <w:rPr>
          <w:rFonts w:eastAsia="Calibri" w:cstheme="minorHAnsi"/>
          <w:color w:val="000000"/>
        </w:rPr>
      </w:pPr>
      <w:r w:rsidRPr="002B741F">
        <w:rPr>
          <w:rFonts w:eastAsia="Calibri" w:cstheme="minorHAnsi"/>
          <w:color w:val="000000"/>
        </w:rPr>
        <w:t xml:space="preserve">la procédure permettant la vérification de la qualité et du niveau de sécurité du certificat de signature utilisé : preuve de la qualification de l'Autorité de certification, la politique de certification… </w:t>
      </w:r>
    </w:p>
    <w:p w14:paraId="7160A96F" w14:textId="77777777" w:rsidR="0092312C" w:rsidRPr="002B741F" w:rsidRDefault="0092312C" w:rsidP="008C684D">
      <w:pPr>
        <w:numPr>
          <w:ilvl w:val="0"/>
          <w:numId w:val="8"/>
        </w:numPr>
        <w:autoSpaceDE w:val="0"/>
        <w:autoSpaceDN w:val="0"/>
        <w:adjustRightInd w:val="0"/>
        <w:spacing w:before="80" w:after="60"/>
        <w:rPr>
          <w:rFonts w:eastAsia="Calibri" w:cstheme="minorHAnsi"/>
          <w:color w:val="000000"/>
        </w:rPr>
      </w:pPr>
      <w:r w:rsidRPr="002B741F">
        <w:rPr>
          <w:rFonts w:eastAsia="Calibri" w:cstheme="minorHAnsi"/>
        </w:rPr>
        <w:t xml:space="preserve">l’opérateur économique fournit notamment les outils techniques de vérification du certificat : chaîne de certification complète jusqu’à l’AC racine, adresse de téléchargement de la dernière mise à jour de la liste de révocation ; </w:t>
      </w:r>
    </w:p>
    <w:p w14:paraId="2450F219" w14:textId="77777777" w:rsidR="0092312C" w:rsidRPr="0092312C" w:rsidRDefault="0092312C" w:rsidP="0092312C">
      <w:pPr>
        <w:pStyle w:val="CSNETITRE2"/>
      </w:pPr>
      <w:bookmarkStart w:id="143" w:name="_Toc530391169"/>
      <w:bookmarkStart w:id="144" w:name="_Toc529447325"/>
      <w:bookmarkStart w:id="145" w:name="_Toc529444171"/>
      <w:bookmarkStart w:id="146" w:name="_Toc529381528"/>
      <w:bookmarkStart w:id="147" w:name="_Toc528229136"/>
      <w:bookmarkStart w:id="148" w:name="_Toc509865903"/>
      <w:bookmarkStart w:id="149" w:name="_Toc507145683"/>
      <w:bookmarkStart w:id="150" w:name="_Toc506977998"/>
      <w:bookmarkStart w:id="151" w:name="_Toc504990110"/>
      <w:bookmarkStart w:id="152" w:name="_Toc504560558"/>
      <w:bookmarkStart w:id="153" w:name="_Toc493862238"/>
      <w:bookmarkStart w:id="154" w:name="_Toc492565221"/>
      <w:bookmarkStart w:id="155" w:name="_Toc490222709"/>
      <w:bookmarkStart w:id="156" w:name="_Toc119173985"/>
      <w:r w:rsidRPr="0092312C">
        <w:t>Outil de signature utilisé pour signer les fichiers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50647CC7" w14:textId="77777777" w:rsidR="0092312C" w:rsidRPr="002B741F" w:rsidRDefault="0092312C" w:rsidP="0092312C">
      <w:pPr>
        <w:autoSpaceDE w:val="0"/>
        <w:autoSpaceDN w:val="0"/>
        <w:adjustRightInd w:val="0"/>
        <w:rPr>
          <w:rFonts w:eastAsia="SimSun" w:cstheme="minorHAnsi"/>
          <w:color w:val="404040"/>
          <w:lang w:eastAsia="zh-CN"/>
        </w:rPr>
      </w:pPr>
      <w:r w:rsidRPr="002B741F">
        <w:rPr>
          <w:rFonts w:eastAsia="Calibri" w:cstheme="minorHAnsi"/>
        </w:rPr>
        <w:t>L’opérateur économique utilise l’outil de signature de son choix.</w:t>
      </w:r>
    </w:p>
    <w:p w14:paraId="3A13B403" w14:textId="77777777" w:rsidR="0092312C" w:rsidRPr="002B741F" w:rsidRDefault="0092312C" w:rsidP="0092312C">
      <w:pPr>
        <w:rPr>
          <w:rFonts w:eastAsia="SimSun" w:cstheme="minorHAnsi"/>
          <w:color w:val="404040"/>
          <w:lang w:eastAsia="zh-CN"/>
        </w:rPr>
      </w:pPr>
    </w:p>
    <w:p w14:paraId="20EDA923" w14:textId="77777777" w:rsidR="0092312C" w:rsidRPr="002B741F" w:rsidRDefault="0092312C" w:rsidP="0092312C">
      <w:pPr>
        <w:autoSpaceDE w:val="0"/>
        <w:autoSpaceDN w:val="0"/>
        <w:adjustRightInd w:val="0"/>
        <w:rPr>
          <w:rFonts w:eastAsia="Calibri" w:cstheme="minorHAnsi"/>
        </w:rPr>
      </w:pPr>
      <w:r w:rsidRPr="002B741F">
        <w:rPr>
          <w:rFonts w:eastAsia="Arial" w:cstheme="minorHAnsi"/>
          <w:b/>
          <w:color w:val="000000"/>
          <w:u w:val="single"/>
        </w:rPr>
        <w:t>1</w:t>
      </w:r>
      <w:r w:rsidRPr="002B741F">
        <w:rPr>
          <w:rFonts w:eastAsia="Arial" w:cstheme="minorHAnsi"/>
          <w:b/>
          <w:color w:val="000000"/>
          <w:u w:val="single"/>
          <w:vertAlign w:val="superscript"/>
        </w:rPr>
        <w:t>er</w:t>
      </w:r>
      <w:r w:rsidRPr="002B741F">
        <w:rPr>
          <w:rFonts w:eastAsia="Arial" w:cstheme="minorHAnsi"/>
          <w:b/>
          <w:color w:val="000000"/>
          <w:u w:val="single"/>
        </w:rPr>
        <w:t xml:space="preserve"> cas</w:t>
      </w:r>
      <w:r w:rsidRPr="002B741F">
        <w:rPr>
          <w:rFonts w:eastAsia="Calibri" w:cstheme="minorHAnsi"/>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2B741F">
        <w:rPr>
          <w:rFonts w:eastAsia="Calibri" w:cstheme="minorHAnsi"/>
        </w:rPr>
        <w:t xml:space="preserve"> l’opérateur économique utilise l’outil de signature de la plate-forme des achats de l’État PLACE. </w:t>
      </w:r>
    </w:p>
    <w:p w14:paraId="587E7995" w14:textId="77777777" w:rsidR="0092312C" w:rsidRPr="002B741F" w:rsidRDefault="0092312C" w:rsidP="0092312C">
      <w:pPr>
        <w:autoSpaceDE w:val="0"/>
        <w:autoSpaceDN w:val="0"/>
        <w:adjustRightInd w:val="0"/>
        <w:rPr>
          <w:rFonts w:eastAsia="Calibri" w:cstheme="minorHAnsi"/>
        </w:rPr>
      </w:pPr>
    </w:p>
    <w:p w14:paraId="070B291E" w14:textId="77777777" w:rsidR="0092312C" w:rsidRPr="002B741F" w:rsidRDefault="0092312C" w:rsidP="0092312C">
      <w:pPr>
        <w:autoSpaceDE w:val="0"/>
        <w:autoSpaceDN w:val="0"/>
        <w:adjustRightInd w:val="0"/>
        <w:rPr>
          <w:rFonts w:eastAsia="Calibri" w:cstheme="minorHAnsi"/>
        </w:rPr>
      </w:pPr>
      <w:r w:rsidRPr="002B741F">
        <w:rPr>
          <w:rFonts w:eastAsia="Calibri" w:cstheme="minorHAnsi"/>
        </w:rPr>
        <w:t>Dans ce cas, l’opérateur économique est dispensé de fournir tout mode d’emploi ou information concernant cet outil de signature.</w:t>
      </w:r>
    </w:p>
    <w:p w14:paraId="52350B29" w14:textId="77777777" w:rsidR="0092312C" w:rsidRPr="002B741F" w:rsidRDefault="0092312C" w:rsidP="0092312C">
      <w:pPr>
        <w:autoSpaceDE w:val="0"/>
        <w:autoSpaceDN w:val="0"/>
        <w:adjustRightInd w:val="0"/>
        <w:rPr>
          <w:rFonts w:eastAsia="Calibri" w:cstheme="minorHAnsi"/>
        </w:rPr>
      </w:pPr>
    </w:p>
    <w:p w14:paraId="57FA04A0" w14:textId="77777777" w:rsidR="0092312C" w:rsidRPr="002B741F" w:rsidRDefault="0092312C" w:rsidP="0092312C">
      <w:pPr>
        <w:autoSpaceDE w:val="0"/>
        <w:autoSpaceDN w:val="0"/>
        <w:adjustRightInd w:val="0"/>
        <w:rPr>
          <w:rFonts w:eastAsia="Calibri" w:cstheme="minorHAnsi"/>
        </w:rPr>
      </w:pPr>
      <w:r w:rsidRPr="002B741F">
        <w:rPr>
          <w:rFonts w:eastAsia="Arial" w:cstheme="minorHAnsi"/>
          <w:b/>
          <w:color w:val="000000"/>
          <w:u w:val="single"/>
        </w:rPr>
        <w:t>2</w:t>
      </w:r>
      <w:r w:rsidRPr="002B741F">
        <w:rPr>
          <w:rFonts w:eastAsia="Arial" w:cstheme="minorHAnsi"/>
          <w:b/>
          <w:color w:val="000000"/>
          <w:u w:val="single"/>
          <w:vertAlign w:val="superscript"/>
        </w:rPr>
        <w:t>ème</w:t>
      </w:r>
      <w:r w:rsidRPr="002B741F">
        <w:rPr>
          <w:rFonts w:eastAsia="Arial" w:cstheme="minorHAnsi"/>
          <w:b/>
          <w:color w:val="000000"/>
          <w:u w:val="single"/>
        </w:rPr>
        <w:t xml:space="preserve"> cas</w:t>
      </w:r>
      <w:r w:rsidRPr="002B741F">
        <w:rPr>
          <w:rFonts w:eastAsia="Calibri" w:cstheme="minorHAnsi"/>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2B741F">
        <w:rPr>
          <w:rFonts w:eastAsia="Calibri" w:cstheme="minorHAnsi"/>
        </w:rPr>
        <w:t xml:space="preserve"> lorsque l’opérateur économique utilise un autre outil de signature que celui proposé sur PLACE, il doit respecter les deux obligations suivantes : </w:t>
      </w:r>
    </w:p>
    <w:p w14:paraId="2D905B12" w14:textId="77777777" w:rsidR="0092312C" w:rsidRPr="002B741F" w:rsidRDefault="0092312C" w:rsidP="008C684D">
      <w:pPr>
        <w:numPr>
          <w:ilvl w:val="0"/>
          <w:numId w:val="9"/>
        </w:numPr>
        <w:autoSpaceDE w:val="0"/>
        <w:autoSpaceDN w:val="0"/>
        <w:adjustRightInd w:val="0"/>
        <w:spacing w:before="80" w:after="60"/>
        <w:rPr>
          <w:rFonts w:eastAsia="Calibri" w:cstheme="minorHAnsi"/>
        </w:rPr>
      </w:pPr>
      <w:r w:rsidRPr="002B741F">
        <w:rPr>
          <w:rFonts w:eastAsia="Calibri" w:cstheme="minorHAnsi"/>
        </w:rPr>
        <w:t xml:space="preserve">produire des formats de signature XAdES, CAdES ou PAdES. </w:t>
      </w:r>
    </w:p>
    <w:p w14:paraId="16029F6D" w14:textId="77777777" w:rsidR="0092312C" w:rsidRPr="002B741F" w:rsidRDefault="0092312C" w:rsidP="008C684D">
      <w:pPr>
        <w:numPr>
          <w:ilvl w:val="0"/>
          <w:numId w:val="9"/>
        </w:numPr>
        <w:autoSpaceDE w:val="0"/>
        <w:autoSpaceDN w:val="0"/>
        <w:adjustRightInd w:val="0"/>
        <w:spacing w:before="80" w:after="60"/>
        <w:rPr>
          <w:rFonts w:eastAsia="Calibri" w:cstheme="minorHAnsi"/>
        </w:rPr>
      </w:pPr>
      <w:r w:rsidRPr="002B741F">
        <w:rPr>
          <w:rFonts w:eastAsia="Calibri" w:cstheme="minorHAnsi"/>
        </w:rPr>
        <w:t xml:space="preserve">permettre la vérification en transmettant en parallèle les éléments nécessaires pour procéder à la vérification de la validité de la signature et de l’intégrité du document, et ce, gratuitement. </w:t>
      </w:r>
    </w:p>
    <w:p w14:paraId="7DAAE2EC" w14:textId="77777777" w:rsidR="0092312C" w:rsidRPr="002B741F" w:rsidRDefault="0092312C" w:rsidP="0092312C">
      <w:pPr>
        <w:autoSpaceDE w:val="0"/>
        <w:autoSpaceDN w:val="0"/>
        <w:adjustRightInd w:val="0"/>
        <w:rPr>
          <w:rFonts w:eastAsia="Calibri" w:cstheme="minorHAnsi"/>
        </w:rPr>
      </w:pPr>
    </w:p>
    <w:p w14:paraId="1FD07F22" w14:textId="77777777" w:rsidR="0092312C" w:rsidRPr="002B741F" w:rsidRDefault="0092312C" w:rsidP="0092312C">
      <w:pPr>
        <w:autoSpaceDE w:val="0"/>
        <w:autoSpaceDN w:val="0"/>
        <w:adjustRightInd w:val="0"/>
        <w:rPr>
          <w:rFonts w:eastAsia="Calibri" w:cstheme="minorHAnsi"/>
        </w:rPr>
      </w:pPr>
      <w:r w:rsidRPr="002B741F">
        <w:rPr>
          <w:rFonts w:eastAsia="Calibri" w:cstheme="minorHAnsi"/>
        </w:rPr>
        <w:t xml:space="preserve">Dans ce cas, l’opérateur économique indique la procédure permettant la vérification de la validité de la signature en fournissant notamment : </w:t>
      </w:r>
    </w:p>
    <w:p w14:paraId="1CA9F785" w14:textId="77777777" w:rsidR="0092312C" w:rsidRPr="002B741F" w:rsidRDefault="0092312C" w:rsidP="008C684D">
      <w:pPr>
        <w:numPr>
          <w:ilvl w:val="0"/>
          <w:numId w:val="10"/>
        </w:numPr>
        <w:autoSpaceDE w:val="0"/>
        <w:autoSpaceDN w:val="0"/>
        <w:adjustRightInd w:val="0"/>
        <w:spacing w:before="80" w:after="60"/>
        <w:rPr>
          <w:rFonts w:eastAsia="Calibri" w:cstheme="minorHAnsi"/>
        </w:rPr>
      </w:pPr>
      <w:r w:rsidRPr="002B741F">
        <w:rPr>
          <w:rFonts w:eastAsia="Calibri" w:cstheme="minorHAnsi"/>
        </w:rPr>
        <w:t xml:space="preserve">le lien sur lequel l’outil de vérification de signature peut être récupéré, avec une notice d’explication et les prérequis d’installation (type d’exécutable, systèmes d’exploitation supportés, etc.). La fourniture d’une notice en français est souhaitée ; </w:t>
      </w:r>
    </w:p>
    <w:p w14:paraId="3F897DB0" w14:textId="77777777" w:rsidR="0092312C" w:rsidRPr="002B741F" w:rsidRDefault="0092312C" w:rsidP="008C684D">
      <w:pPr>
        <w:numPr>
          <w:ilvl w:val="0"/>
          <w:numId w:val="10"/>
        </w:numPr>
        <w:autoSpaceDE w:val="0"/>
        <w:autoSpaceDN w:val="0"/>
        <w:adjustRightInd w:val="0"/>
        <w:spacing w:before="80" w:after="60"/>
        <w:rPr>
          <w:rFonts w:eastAsia="Calibri" w:cstheme="minorHAnsi"/>
        </w:rPr>
      </w:pPr>
      <w:r w:rsidRPr="002B741F">
        <w:rPr>
          <w:rFonts w:eastAsia="Calibri" w:cstheme="minorHAnsi"/>
        </w:rPr>
        <w:t>le mode de vérification alternatif en cas d’installation impossible pour l’acheteur (contact à joindre, support distant, support sur site etc.).</w:t>
      </w:r>
    </w:p>
    <w:p w14:paraId="18A790A6" w14:textId="77777777" w:rsidR="0092312C" w:rsidRPr="007118C4" w:rsidRDefault="0092312C" w:rsidP="0092312C">
      <w:pPr>
        <w:autoSpaceDE w:val="0"/>
        <w:autoSpaceDN w:val="0"/>
        <w:adjustRightInd w:val="0"/>
        <w:spacing w:after="60"/>
        <w:rPr>
          <w:rFonts w:ascii="Calibri" w:eastAsia="Calibri" w:hAnsi="Calibri" w:cs="Calibri"/>
        </w:rPr>
      </w:pPr>
    </w:p>
    <w:p w14:paraId="6F64DD42" w14:textId="77777777" w:rsidR="0092312C" w:rsidRPr="0092312C" w:rsidRDefault="0092312C" w:rsidP="008C684D">
      <w:pPr>
        <w:pStyle w:val="CSNETITRE1"/>
        <w:numPr>
          <w:ilvl w:val="0"/>
          <w:numId w:val="12"/>
        </w:numPr>
        <w:rPr>
          <w:szCs w:val="32"/>
        </w:rPr>
      </w:pPr>
      <w:bookmarkStart w:id="157" w:name="_Toc529447326"/>
      <w:bookmarkStart w:id="158" w:name="_Toc529444172"/>
      <w:bookmarkStart w:id="159" w:name="_Toc529381529"/>
      <w:bookmarkStart w:id="160" w:name="_Toc528229137"/>
      <w:bookmarkStart w:id="161" w:name="_Toc509865904"/>
      <w:bookmarkStart w:id="162" w:name="_Toc507145684"/>
      <w:bookmarkStart w:id="163" w:name="_Toc506977999"/>
      <w:bookmarkStart w:id="164" w:name="_Toc504990111"/>
      <w:bookmarkStart w:id="165" w:name="_Toc504560559"/>
      <w:bookmarkStart w:id="166" w:name="_Toc493862239"/>
      <w:bookmarkStart w:id="167" w:name="_Toc492565222"/>
      <w:bookmarkStart w:id="168" w:name="_Toc490222710"/>
      <w:bookmarkStart w:id="169" w:name="_Toc530391170"/>
      <w:bookmarkStart w:id="170" w:name="_Toc119173986"/>
      <w:r w:rsidRPr="0092312C">
        <w:rPr>
          <w:szCs w:val="32"/>
        </w:rPr>
        <w:lastRenderedPageBreak/>
        <w:t>Formalisme</w:t>
      </w:r>
      <w:bookmarkEnd w:id="157"/>
      <w:bookmarkEnd w:id="158"/>
      <w:bookmarkEnd w:id="159"/>
      <w:bookmarkEnd w:id="160"/>
      <w:bookmarkEnd w:id="161"/>
      <w:bookmarkEnd w:id="162"/>
      <w:bookmarkEnd w:id="163"/>
      <w:bookmarkEnd w:id="164"/>
      <w:bookmarkEnd w:id="165"/>
      <w:bookmarkEnd w:id="166"/>
      <w:bookmarkEnd w:id="167"/>
      <w:bookmarkEnd w:id="168"/>
      <w:r w:rsidRPr="0092312C">
        <w:rPr>
          <w:szCs w:val="32"/>
        </w:rPr>
        <w:t xml:space="preserve"> de la candidature et de l’offre</w:t>
      </w:r>
      <w:bookmarkEnd w:id="169"/>
      <w:bookmarkEnd w:id="170"/>
    </w:p>
    <w:p w14:paraId="0B892C95" w14:textId="77777777" w:rsidR="0092312C" w:rsidRPr="0092312C" w:rsidRDefault="0092312C" w:rsidP="0092312C">
      <w:pPr>
        <w:pStyle w:val="CSNETITRE2"/>
      </w:pPr>
      <w:bookmarkStart w:id="171" w:name="_Toc530391171"/>
      <w:bookmarkStart w:id="172" w:name="_Toc529447327"/>
      <w:bookmarkStart w:id="173" w:name="_Toc529444173"/>
      <w:bookmarkStart w:id="174" w:name="_Toc529381530"/>
      <w:bookmarkStart w:id="175" w:name="_Toc528229138"/>
      <w:bookmarkStart w:id="176" w:name="_Toc509865905"/>
      <w:bookmarkStart w:id="177" w:name="_Toc507145685"/>
      <w:bookmarkStart w:id="178" w:name="_Toc506978000"/>
      <w:bookmarkStart w:id="179" w:name="_Toc504990112"/>
      <w:bookmarkStart w:id="180" w:name="_Toc504560560"/>
      <w:bookmarkStart w:id="181" w:name="_Toc493862240"/>
      <w:bookmarkStart w:id="182" w:name="_Toc492565223"/>
      <w:bookmarkStart w:id="183" w:name="_Toc490222711"/>
      <w:bookmarkStart w:id="184" w:name="_Toc119173987"/>
      <w:r w:rsidRPr="0092312C">
        <w:t>Généralités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880107E" w14:textId="77777777" w:rsidR="0092312C" w:rsidRPr="002B741F" w:rsidRDefault="0092312C" w:rsidP="002B741F">
      <w:pPr>
        <w:spacing w:before="60" w:after="60" w:line="276" w:lineRule="auto"/>
        <w:rPr>
          <w:rFonts w:eastAsia="SimSun" w:cstheme="minorHAnsi"/>
          <w:lang w:eastAsia="zh-CN"/>
        </w:rPr>
      </w:pPr>
      <w:r w:rsidRPr="002B741F">
        <w:rPr>
          <w:rFonts w:eastAsia="SimSun" w:cstheme="minorHAnsi"/>
          <w:lang w:eastAsia="zh-CN"/>
        </w:rPr>
        <w:t>Les opérateurs économiques doivent insérer dans leur pli électronique l’ensemble des documents requis.</w:t>
      </w:r>
    </w:p>
    <w:p w14:paraId="54058CBC" w14:textId="77777777" w:rsidR="0092312C" w:rsidRPr="002B741F" w:rsidRDefault="0092312C" w:rsidP="002B741F">
      <w:pPr>
        <w:keepNext/>
        <w:spacing w:before="80" w:after="80" w:line="276" w:lineRule="auto"/>
        <w:rPr>
          <w:rFonts w:eastAsia="SimSun" w:cstheme="minorHAnsi"/>
          <w:lang w:eastAsia="zh-CN"/>
        </w:rPr>
      </w:pPr>
      <w:r w:rsidRPr="002B741F">
        <w:rPr>
          <w:rFonts w:eastAsia="SimSun" w:cstheme="minorHAnsi"/>
          <w:lang w:eastAsia="zh-CN"/>
        </w:rPr>
        <w:t>Le fichier contient les documents demandés au présent règlement de la consultation.</w:t>
      </w:r>
    </w:p>
    <w:p w14:paraId="73F4F5C4" w14:textId="77777777" w:rsidR="0092312C" w:rsidRPr="002B741F" w:rsidRDefault="0092312C" w:rsidP="002B741F">
      <w:pPr>
        <w:keepNext/>
        <w:spacing w:before="80" w:after="80" w:line="276" w:lineRule="auto"/>
        <w:rPr>
          <w:rFonts w:eastAsia="SimSun" w:cstheme="minorHAnsi"/>
          <w:lang w:eastAsia="zh-CN"/>
        </w:rPr>
      </w:pPr>
      <w:r w:rsidRPr="002B741F">
        <w:rPr>
          <w:rFonts w:eastAsia="SimSun" w:cstheme="minorHAnsi"/>
          <w:lang w:eastAsia="zh-CN"/>
        </w:rPr>
        <w:t>Ces documents sont transmis sous la forme de fichiers dans l’un des formats natifs suivants :</w:t>
      </w:r>
    </w:p>
    <w:p w14:paraId="17854882" w14:textId="77777777" w:rsidR="0092312C" w:rsidRPr="002B741F" w:rsidRDefault="0092312C" w:rsidP="008C684D">
      <w:pPr>
        <w:numPr>
          <w:ilvl w:val="0"/>
          <w:numId w:val="6"/>
        </w:numPr>
        <w:spacing w:before="60" w:after="60" w:line="276" w:lineRule="auto"/>
        <w:rPr>
          <w:rFonts w:eastAsia="Arial" w:cstheme="minorHAnsi"/>
          <w:lang w:eastAsia="zh-CN"/>
        </w:rPr>
      </w:pPr>
      <w:r w:rsidRPr="002B741F">
        <w:rPr>
          <w:rFonts w:eastAsia="Arial" w:cstheme="minorHAnsi"/>
          <w:lang w:eastAsia="zh-CN"/>
        </w:rPr>
        <w:t>Format Word (“.doc”) ;</w:t>
      </w:r>
    </w:p>
    <w:p w14:paraId="6F3B50B5" w14:textId="77777777" w:rsidR="0092312C" w:rsidRPr="002B741F" w:rsidRDefault="0092312C" w:rsidP="008C684D">
      <w:pPr>
        <w:numPr>
          <w:ilvl w:val="0"/>
          <w:numId w:val="6"/>
        </w:numPr>
        <w:spacing w:before="60" w:after="60" w:line="276" w:lineRule="auto"/>
        <w:rPr>
          <w:rFonts w:eastAsia="Arial" w:cstheme="minorHAnsi"/>
          <w:lang w:eastAsia="zh-CN"/>
        </w:rPr>
      </w:pPr>
      <w:r w:rsidRPr="002B741F">
        <w:rPr>
          <w:rFonts w:eastAsia="Arial" w:cstheme="minorHAnsi"/>
          <w:lang w:eastAsia="zh-CN"/>
        </w:rPr>
        <w:t>Format Excel (“.xls”) ;</w:t>
      </w:r>
    </w:p>
    <w:p w14:paraId="51941368" w14:textId="77777777" w:rsidR="0092312C" w:rsidRPr="002B741F" w:rsidRDefault="0092312C" w:rsidP="002B741F">
      <w:pPr>
        <w:spacing w:before="60" w:after="60" w:line="276" w:lineRule="auto"/>
        <w:rPr>
          <w:rFonts w:eastAsia="Arial" w:cstheme="minorHAnsi"/>
          <w:lang w:eastAsia="zh-CN"/>
        </w:rPr>
      </w:pPr>
      <w:r w:rsidRPr="002B741F">
        <w:rPr>
          <w:rFonts w:eastAsia="Arial" w:cstheme="minorHAnsi"/>
          <w:lang w:eastAsia="zh-CN"/>
        </w:rPr>
        <w:t>Chaque document établi sera également transmis sous format Acrobat (“.pdf”).</w:t>
      </w:r>
    </w:p>
    <w:p w14:paraId="38B96D19" w14:textId="77777777" w:rsidR="0092312C" w:rsidRPr="002B741F" w:rsidRDefault="0092312C" w:rsidP="002B741F">
      <w:pPr>
        <w:spacing w:before="80" w:after="80" w:line="276" w:lineRule="auto"/>
        <w:rPr>
          <w:rFonts w:eastAsia="SimSun" w:cstheme="minorHAnsi"/>
          <w:lang w:eastAsia="zh-CN"/>
        </w:rPr>
      </w:pPr>
      <w:r w:rsidRPr="002B741F">
        <w:rPr>
          <w:rFonts w:eastAsia="SimSun" w:cstheme="minorHAnsi"/>
          <w:lang w:eastAsia="zh-CN"/>
        </w:rPr>
        <w:t xml:space="preserve">Après création du pli, les opérateurs économiques se connectent sur le site </w:t>
      </w:r>
      <w:hyperlink r:id="rId30" w:history="1">
        <w:r w:rsidRPr="002B741F">
          <w:rPr>
            <w:rFonts w:eastAsia="Arial" w:cstheme="minorHAnsi"/>
            <w:u w:val="single"/>
          </w:rPr>
          <w:t>https://www.marches-publics.gouv.fr</w:t>
        </w:r>
        <w:r w:rsidRPr="002B741F">
          <w:rPr>
            <w:rFonts w:eastAsia="SimSun" w:cstheme="minorHAnsi"/>
            <w:u w:val="single"/>
            <w:lang w:eastAsia="zh-CN"/>
          </w:rPr>
          <w:t>,</w:t>
        </w:r>
      </w:hyperlink>
      <w:r w:rsidRPr="002B741F">
        <w:rPr>
          <w:rFonts w:eastAsia="SimSun" w:cstheme="minorHAnsi"/>
          <w:lang w:eastAsia="zh-CN"/>
        </w:rPr>
        <w:t xml:space="preserve"> et doivent le déposer dans les espaces qui leur sont réservés sur la page de réponse à cette consultation de la plate-forme, chaque consultation ayant une page spécifique de réponse.</w:t>
      </w:r>
    </w:p>
    <w:p w14:paraId="3C9B3CA3" w14:textId="77777777" w:rsidR="0092312C" w:rsidRPr="0092312C" w:rsidRDefault="0092312C" w:rsidP="0092312C">
      <w:pPr>
        <w:pStyle w:val="CSNETITRE2"/>
      </w:pPr>
      <w:bookmarkStart w:id="185" w:name="_Toc530391172"/>
      <w:bookmarkStart w:id="186" w:name="_Toc529447328"/>
      <w:bookmarkStart w:id="187" w:name="_Toc529444174"/>
      <w:bookmarkStart w:id="188" w:name="_Toc529381531"/>
      <w:bookmarkStart w:id="189" w:name="_Toc528229139"/>
      <w:bookmarkStart w:id="190" w:name="_Toc509865906"/>
      <w:bookmarkStart w:id="191" w:name="_Toc507145686"/>
      <w:bookmarkStart w:id="192" w:name="_Toc506978001"/>
      <w:bookmarkStart w:id="193" w:name="_Toc504990113"/>
      <w:bookmarkStart w:id="194" w:name="_Toc504560561"/>
      <w:bookmarkStart w:id="195" w:name="_Toc493862241"/>
      <w:bookmarkStart w:id="196" w:name="_Toc492565224"/>
      <w:bookmarkStart w:id="197" w:name="_Toc490222712"/>
      <w:bookmarkStart w:id="198" w:name="_Toc119173988"/>
      <w:r w:rsidRPr="0092312C">
        <w:t>Copie de sauvegarde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A7209EA" w14:textId="77777777" w:rsidR="0092312C" w:rsidRPr="002B741F" w:rsidRDefault="0092312C" w:rsidP="002B741F">
      <w:pPr>
        <w:spacing w:line="276" w:lineRule="auto"/>
        <w:rPr>
          <w:rFonts w:eastAsia="Arial" w:cstheme="minorHAnsi"/>
          <w:lang w:eastAsia="zh-CN"/>
        </w:rPr>
      </w:pPr>
      <w:r w:rsidRPr="002B741F">
        <w:rPr>
          <w:rFonts w:eastAsia="Arial" w:cstheme="minorHAnsi"/>
          <w:lang w:eastAsia="zh-CN"/>
        </w:rPr>
        <w:t>Conformément à l’article R2132-11 du Code de la commande publique, les opérateurs économiques peuvent adresser une copie de sauvegarde selon les modalités fixées par l’arrêté du 22 mars 2019 fixant les modalités de mise à disposition des documents de la consultation et de la copie de sauvegarde.</w:t>
      </w:r>
    </w:p>
    <w:p w14:paraId="73F32188" w14:textId="77777777" w:rsidR="0092312C" w:rsidRPr="002B741F" w:rsidRDefault="0092312C" w:rsidP="002B741F">
      <w:pPr>
        <w:spacing w:line="276" w:lineRule="auto"/>
        <w:rPr>
          <w:rFonts w:eastAsia="Arial" w:cstheme="minorHAnsi"/>
          <w:lang w:eastAsia="zh-CN"/>
        </w:rPr>
      </w:pPr>
    </w:p>
    <w:p w14:paraId="515A6234" w14:textId="77777777" w:rsidR="0092312C" w:rsidRPr="002B741F" w:rsidRDefault="0092312C" w:rsidP="002B741F">
      <w:pPr>
        <w:spacing w:line="276" w:lineRule="auto"/>
        <w:rPr>
          <w:rFonts w:eastAsia="Arial" w:cstheme="minorHAnsi"/>
          <w:lang w:eastAsia="zh-CN"/>
        </w:rPr>
      </w:pPr>
      <w:r w:rsidRPr="002B741F">
        <w:rPr>
          <w:rFonts w:eastAsia="Arial" w:cstheme="minorHAnsi"/>
          <w:lang w:eastAsia="zh-CN"/>
        </w:rPr>
        <w:t>Conformément à l’arrêté du 2.I dudit arrêté, l’opérateur économique qui effectue à la fois une transmission électronique et, à titre de copie de sauvegarde, une transmission sur support physique électronique (cédérom, DVD Rom, clé USB) ou sur support papier doit faire parvenir cette copie dans les délais impartis pour la remise des candidatures et/ou des offres. Cette copie de sauvegarde doit être placée dans un pli scellé comportant la mention lisible : « copie de sauvegarde, n° de l’accord-cadre, intitulé de l’accord-cadre et nom ou dénomination de l’opérateur économique ».</w:t>
      </w:r>
    </w:p>
    <w:p w14:paraId="13765237" w14:textId="77777777" w:rsidR="0092312C" w:rsidRPr="002B741F" w:rsidRDefault="0092312C" w:rsidP="002B741F">
      <w:pPr>
        <w:spacing w:line="276" w:lineRule="auto"/>
        <w:rPr>
          <w:rFonts w:eastAsia="Arial" w:cstheme="minorHAnsi"/>
        </w:rPr>
      </w:pPr>
    </w:p>
    <w:p w14:paraId="3D3CBBFB" w14:textId="77777777" w:rsidR="0092312C" w:rsidRPr="002B741F" w:rsidRDefault="0092312C" w:rsidP="002B741F">
      <w:pPr>
        <w:spacing w:line="276" w:lineRule="auto"/>
        <w:rPr>
          <w:rFonts w:eastAsia="Arial" w:cstheme="minorHAnsi"/>
        </w:rPr>
      </w:pPr>
      <w:r w:rsidRPr="002B741F">
        <w:rPr>
          <w:rFonts w:eastAsia="Arial" w:cstheme="minorHAnsi"/>
        </w:rPr>
        <w:t>Cette enveloppe contiendra les pièces exigées par le pouvoir adjudicateur.</w:t>
      </w:r>
    </w:p>
    <w:p w14:paraId="5E046845" w14:textId="77777777" w:rsidR="0092312C" w:rsidRPr="002B741F" w:rsidRDefault="0092312C" w:rsidP="002B741F">
      <w:pPr>
        <w:spacing w:line="276" w:lineRule="auto"/>
        <w:rPr>
          <w:rFonts w:eastAsia="Arial" w:cstheme="minorHAnsi"/>
        </w:rPr>
      </w:pPr>
    </w:p>
    <w:p w14:paraId="6A2101F8" w14:textId="77777777" w:rsidR="0092312C" w:rsidRDefault="0092312C" w:rsidP="002B741F">
      <w:pPr>
        <w:spacing w:line="276" w:lineRule="auto"/>
        <w:rPr>
          <w:rFonts w:eastAsia="Arial" w:cstheme="minorHAnsi"/>
        </w:rPr>
      </w:pPr>
      <w:r w:rsidRPr="002B741F">
        <w:rPr>
          <w:rFonts w:eastAsia="Arial" w:cstheme="minorHAnsi"/>
        </w:rPr>
        <w:t>La copie de sauvegarde devra être remise contre récépissé au siège de la Société du Canal Seine-Nord Europe, au plus tard aux date et heure limites de remise des plis fixées dans les documents de la consultation. Les heures d’ouverture des bureaux sont les suivantes : de 9h00 à 18h00. Si elle est envoyée par la poste ou par tout moyen permettant de donner une date certaine, elle devra parvenir à l’adresse ci-dessous avant ces mêmes dates et heure limites.</w:t>
      </w:r>
    </w:p>
    <w:p w14:paraId="0F557E4F" w14:textId="77777777" w:rsidR="002B741F" w:rsidRDefault="002B741F" w:rsidP="002B741F">
      <w:pPr>
        <w:spacing w:line="276" w:lineRule="auto"/>
        <w:rPr>
          <w:rFonts w:eastAsia="Arial" w:cstheme="minorHAnsi"/>
        </w:rPr>
      </w:pPr>
    </w:p>
    <w:p w14:paraId="5DDB4FCC" w14:textId="77777777" w:rsidR="002B741F" w:rsidRDefault="002B741F" w:rsidP="002B741F">
      <w:pPr>
        <w:spacing w:line="276" w:lineRule="auto"/>
        <w:rPr>
          <w:rFonts w:eastAsia="Arial" w:cstheme="minorHAnsi"/>
        </w:rPr>
      </w:pPr>
    </w:p>
    <w:p w14:paraId="419140AB" w14:textId="77777777" w:rsidR="002B741F" w:rsidRDefault="002B741F" w:rsidP="002B741F">
      <w:pPr>
        <w:spacing w:line="276" w:lineRule="auto"/>
        <w:rPr>
          <w:rFonts w:eastAsia="Arial" w:cstheme="minorHAnsi"/>
        </w:rPr>
      </w:pPr>
    </w:p>
    <w:p w14:paraId="7C6AA7C0" w14:textId="77777777" w:rsidR="002B741F" w:rsidRDefault="002B741F" w:rsidP="002B741F">
      <w:pPr>
        <w:spacing w:line="276" w:lineRule="auto"/>
        <w:rPr>
          <w:rFonts w:eastAsia="Arial" w:cstheme="minorHAnsi"/>
        </w:rPr>
      </w:pPr>
    </w:p>
    <w:p w14:paraId="22B26378" w14:textId="77777777" w:rsidR="002B741F" w:rsidRPr="002B741F" w:rsidRDefault="002B741F" w:rsidP="002B741F">
      <w:pPr>
        <w:spacing w:line="276" w:lineRule="auto"/>
        <w:rPr>
          <w:rFonts w:eastAsia="Arial" w:cstheme="minorHAnsi"/>
        </w:rPr>
      </w:pPr>
    </w:p>
    <w:p w14:paraId="309EA9AB" w14:textId="77777777" w:rsidR="002B741F" w:rsidRPr="007118C4" w:rsidRDefault="002B741F" w:rsidP="0092312C">
      <w:pPr>
        <w:rPr>
          <w:rFonts w:ascii="Arial" w:eastAsia="Arial" w:hAnsi="Arial" w:cs="Times New Roman"/>
          <w:color w:val="000000"/>
          <w:sz w:val="20"/>
          <w:szCs w:val="18"/>
        </w:rPr>
      </w:pPr>
    </w:p>
    <w:p w14:paraId="51DFCC01" w14:textId="77777777" w:rsidR="0092312C" w:rsidRPr="00B81DD5" w:rsidRDefault="0092312C" w:rsidP="0092312C">
      <w:pPr>
        <w:pBdr>
          <w:top w:val="single" w:sz="4" w:space="1" w:color="auto"/>
          <w:left w:val="single" w:sz="4" w:space="4" w:color="auto"/>
          <w:bottom w:val="single" w:sz="4" w:space="0" w:color="auto"/>
          <w:right w:val="single" w:sz="4" w:space="4" w:color="auto"/>
        </w:pBdr>
        <w:shd w:val="clear" w:color="auto" w:fill="F2F2F2"/>
        <w:spacing w:before="40" w:after="40"/>
        <w:jc w:val="center"/>
        <w:rPr>
          <w:rFonts w:eastAsia="Arial" w:cs="Times New Roman"/>
          <w:b/>
          <w:lang w:eastAsia="fr-FR"/>
        </w:rPr>
      </w:pPr>
      <w:r w:rsidRPr="00B81DD5">
        <w:rPr>
          <w:rFonts w:eastAsia="Arial" w:cs="Times New Roman"/>
          <w:b/>
          <w:lang w:eastAsia="fr-FR"/>
        </w:rPr>
        <w:lastRenderedPageBreak/>
        <w:t>Société du Canal Seine-Nord Europe</w:t>
      </w:r>
    </w:p>
    <w:p w14:paraId="11A215C3" w14:textId="77777777" w:rsidR="0092312C" w:rsidRPr="00B81DD5" w:rsidRDefault="0092312C" w:rsidP="0092312C">
      <w:pPr>
        <w:pBdr>
          <w:top w:val="single" w:sz="4" w:space="1" w:color="auto"/>
          <w:left w:val="single" w:sz="4" w:space="4" w:color="auto"/>
          <w:bottom w:val="single" w:sz="4" w:space="0" w:color="auto"/>
          <w:right w:val="single" w:sz="4" w:space="4" w:color="auto"/>
        </w:pBdr>
        <w:shd w:val="clear" w:color="auto" w:fill="F2F2F2"/>
        <w:spacing w:before="40" w:after="40"/>
        <w:jc w:val="center"/>
        <w:rPr>
          <w:rFonts w:eastAsia="Arial" w:cs="Times New Roman"/>
          <w:lang w:eastAsia="fr-FR"/>
        </w:rPr>
      </w:pPr>
      <w:r w:rsidRPr="00B81DD5">
        <w:rPr>
          <w:rFonts w:eastAsia="Arial" w:cs="Times New Roman"/>
          <w:lang w:eastAsia="fr-FR"/>
        </w:rPr>
        <w:t>Direction de la Commande Publique et des Achats –</w:t>
      </w:r>
    </w:p>
    <w:p w14:paraId="122993B0" w14:textId="4945980D" w:rsidR="0023098E" w:rsidRPr="00B81DD5" w:rsidRDefault="00B81DD5" w:rsidP="0023098E">
      <w:pPr>
        <w:pBdr>
          <w:top w:val="single" w:sz="4" w:space="1" w:color="auto"/>
          <w:left w:val="single" w:sz="4" w:space="4" w:color="auto"/>
          <w:bottom w:val="single" w:sz="4" w:space="0" w:color="auto"/>
          <w:right w:val="single" w:sz="4" w:space="4" w:color="auto"/>
        </w:pBdr>
        <w:shd w:val="clear" w:color="auto" w:fill="F2F2F2"/>
        <w:spacing w:before="40" w:after="40"/>
        <w:jc w:val="center"/>
        <w:rPr>
          <w:rFonts w:eastAsia="Arial" w:cs="Times New Roman"/>
          <w:lang w:eastAsia="fr-FR"/>
        </w:rPr>
      </w:pPr>
      <w:r w:rsidRPr="00B81DD5">
        <w:rPr>
          <w:rFonts w:eastAsia="Arial" w:cs="Times New Roman"/>
          <w:lang w:eastAsia="fr-FR"/>
        </w:rPr>
        <w:t xml:space="preserve">23 Place d’Armes </w:t>
      </w:r>
    </w:p>
    <w:p w14:paraId="6013831A" w14:textId="421127F6" w:rsidR="0092312C" w:rsidRPr="00B81DD5" w:rsidRDefault="00B81DD5" w:rsidP="0023098E">
      <w:pPr>
        <w:pBdr>
          <w:top w:val="single" w:sz="4" w:space="1" w:color="auto"/>
          <w:left w:val="single" w:sz="4" w:space="4" w:color="auto"/>
          <w:bottom w:val="single" w:sz="4" w:space="0" w:color="auto"/>
          <w:right w:val="single" w:sz="4" w:space="4" w:color="auto"/>
        </w:pBdr>
        <w:shd w:val="clear" w:color="auto" w:fill="F2F2F2"/>
        <w:spacing w:before="40" w:after="40"/>
        <w:jc w:val="center"/>
        <w:rPr>
          <w:rFonts w:eastAsia="Arial" w:cs="Times New Roman"/>
          <w:lang w:eastAsia="fr-FR"/>
        </w:rPr>
      </w:pPr>
      <w:r w:rsidRPr="00B81DD5">
        <w:rPr>
          <w:rFonts w:eastAsia="Arial" w:cs="Times New Roman"/>
          <w:lang w:eastAsia="fr-FR"/>
        </w:rPr>
        <w:t>60200</w:t>
      </w:r>
      <w:r w:rsidR="0023098E" w:rsidRPr="00B81DD5">
        <w:rPr>
          <w:rFonts w:eastAsia="Arial" w:cs="Times New Roman"/>
          <w:lang w:eastAsia="fr-FR"/>
        </w:rPr>
        <w:t xml:space="preserve"> Compiègne </w:t>
      </w:r>
    </w:p>
    <w:p w14:paraId="057DE76C" w14:textId="2CBA7E90" w:rsidR="0092312C" w:rsidRPr="00B81DD5" w:rsidRDefault="0092312C" w:rsidP="00B81DD5">
      <w:pPr>
        <w:pBdr>
          <w:top w:val="single" w:sz="4" w:space="1" w:color="auto"/>
          <w:left w:val="single" w:sz="4" w:space="4" w:color="auto"/>
          <w:bottom w:val="single" w:sz="4" w:space="0" w:color="auto"/>
          <w:right w:val="single" w:sz="4" w:space="4" w:color="auto"/>
        </w:pBdr>
        <w:shd w:val="clear" w:color="auto" w:fill="F2F2F2"/>
        <w:spacing w:before="40" w:after="40"/>
        <w:jc w:val="center"/>
        <w:rPr>
          <w:rFonts w:eastAsia="Arial" w:cs="Times New Roman"/>
          <w:lang w:eastAsia="fr-FR"/>
        </w:rPr>
      </w:pPr>
      <w:r w:rsidRPr="00B81DD5">
        <w:rPr>
          <w:rFonts w:eastAsia="Arial" w:cs="Times New Roman"/>
          <w:lang w:eastAsia="fr-FR"/>
        </w:rPr>
        <w:t>(N° de téléphone si nécessaire : 03 44 40 74 98)</w:t>
      </w:r>
    </w:p>
    <w:p w14:paraId="4A23C731" w14:textId="77777777" w:rsidR="0092312C" w:rsidRPr="00B81DD5" w:rsidRDefault="0092312C" w:rsidP="0092312C">
      <w:pPr>
        <w:pBdr>
          <w:top w:val="single" w:sz="4" w:space="1" w:color="auto"/>
          <w:left w:val="single" w:sz="4" w:space="4" w:color="auto"/>
          <w:bottom w:val="single" w:sz="4" w:space="0" w:color="auto"/>
          <w:right w:val="single" w:sz="4" w:space="4" w:color="auto"/>
        </w:pBdr>
        <w:shd w:val="clear" w:color="auto" w:fill="F2F2F2"/>
        <w:spacing w:before="40" w:after="40"/>
        <w:jc w:val="center"/>
        <w:rPr>
          <w:rFonts w:eastAsia="Arial" w:cs="Times New Roman"/>
          <w:b/>
          <w:lang w:eastAsia="fr-FR"/>
        </w:rPr>
      </w:pPr>
      <w:r w:rsidRPr="00B81DD5">
        <w:rPr>
          <w:rFonts w:eastAsia="Arial" w:cs="Times New Roman"/>
          <w:b/>
          <w:lang w:eastAsia="fr-FR"/>
        </w:rPr>
        <w:t>Copie de Sauvegarde</w:t>
      </w:r>
    </w:p>
    <w:p w14:paraId="599D7C0A" w14:textId="77777777" w:rsidR="0092312C" w:rsidRPr="00B81DD5" w:rsidRDefault="0092312C" w:rsidP="0092312C">
      <w:pPr>
        <w:pBdr>
          <w:top w:val="single" w:sz="4" w:space="1" w:color="auto"/>
          <w:left w:val="single" w:sz="4" w:space="4" w:color="auto"/>
          <w:bottom w:val="single" w:sz="4" w:space="0" w:color="auto"/>
          <w:right w:val="single" w:sz="4" w:space="4" w:color="auto"/>
        </w:pBdr>
        <w:shd w:val="clear" w:color="auto" w:fill="F2F2F2"/>
        <w:spacing w:before="40" w:after="40"/>
        <w:jc w:val="center"/>
        <w:rPr>
          <w:rFonts w:eastAsia="Arial" w:cs="Times New Roman"/>
          <w:b/>
          <w:u w:val="single"/>
          <w:lang w:eastAsia="fr-FR"/>
        </w:rPr>
      </w:pPr>
      <w:r w:rsidRPr="00B81DD5">
        <w:rPr>
          <w:rFonts w:eastAsia="Arial" w:cs="Times New Roman"/>
          <w:b/>
          <w:lang w:eastAsia="fr-FR"/>
        </w:rPr>
        <w:t>« PLI A NE PAS OUVRIR PAR LE SERVICE COURRIER »</w:t>
      </w:r>
    </w:p>
    <w:p w14:paraId="09AC724A" w14:textId="4F9D3DE5" w:rsidR="0092312C" w:rsidRPr="00B81DD5" w:rsidRDefault="0092312C" w:rsidP="0092312C">
      <w:pPr>
        <w:pBdr>
          <w:top w:val="single" w:sz="4" w:space="1" w:color="auto"/>
          <w:left w:val="single" w:sz="4" w:space="4" w:color="auto"/>
          <w:bottom w:val="single" w:sz="4" w:space="0" w:color="auto"/>
          <w:right w:val="single" w:sz="4" w:space="4" w:color="auto"/>
        </w:pBdr>
        <w:shd w:val="clear" w:color="auto" w:fill="F2F2F2"/>
        <w:spacing w:before="40" w:after="40"/>
        <w:jc w:val="center"/>
        <w:rPr>
          <w:rFonts w:eastAsia="Arial" w:cs="Times New Roman"/>
          <w:b/>
          <w:lang w:eastAsia="fr-FR"/>
        </w:rPr>
      </w:pPr>
      <w:r w:rsidRPr="00B81DD5">
        <w:rPr>
          <w:rFonts w:eastAsia="Arial" w:cs="Times New Roman"/>
          <w:b/>
        </w:rPr>
        <w:t>Accord-cadre</w:t>
      </w:r>
      <w:r w:rsidRPr="00B81DD5">
        <w:rPr>
          <w:rFonts w:eastAsia="Arial" w:cs="Times New Roman"/>
          <w:b/>
          <w:lang w:eastAsia="fr-FR"/>
        </w:rPr>
        <w:t xml:space="preserve"> n° </w:t>
      </w:r>
      <w:r w:rsidR="00B81DD5" w:rsidRPr="00B81DD5">
        <w:rPr>
          <w:rFonts w:eastAsia="Arial" w:cs="Times New Roman"/>
          <w:b/>
          <w:lang w:eastAsia="fr-FR"/>
        </w:rPr>
        <w:t>21TR</w:t>
      </w:r>
      <w:r w:rsidR="00674D88">
        <w:rPr>
          <w:rFonts w:eastAsia="Arial" w:cs="Times New Roman"/>
          <w:b/>
          <w:lang w:eastAsia="fr-FR"/>
        </w:rPr>
        <w:t>F065</w:t>
      </w:r>
    </w:p>
    <w:p w14:paraId="37A92E84" w14:textId="2D8D4661" w:rsidR="0092312C" w:rsidRPr="00B81DD5" w:rsidRDefault="0092312C" w:rsidP="0092312C">
      <w:pPr>
        <w:pBdr>
          <w:top w:val="single" w:sz="4" w:space="1" w:color="auto"/>
          <w:left w:val="single" w:sz="4" w:space="4" w:color="auto"/>
          <w:bottom w:val="single" w:sz="4" w:space="0" w:color="auto"/>
          <w:right w:val="single" w:sz="4" w:space="4" w:color="auto"/>
        </w:pBdr>
        <w:shd w:val="clear" w:color="auto" w:fill="F2F2F2"/>
        <w:spacing w:before="40" w:after="40"/>
        <w:jc w:val="center"/>
        <w:rPr>
          <w:rFonts w:eastAsia="Arial" w:cs="Times New Roman"/>
          <w:b/>
          <w:lang w:eastAsia="fr-FR"/>
        </w:rPr>
      </w:pPr>
      <w:r w:rsidRPr="00B81DD5">
        <w:rPr>
          <w:rFonts w:eastAsia="Arial" w:cs="Times New Roman"/>
          <w:b/>
          <w:lang w:eastAsia="fr-FR"/>
        </w:rPr>
        <w:t>«</w:t>
      </w:r>
      <w:r w:rsidR="00B81DD5" w:rsidRPr="00B81DD5">
        <w:rPr>
          <w:rFonts w:eastAsia="Arial" w:cs="Times New Roman"/>
          <w:b/>
          <w:lang w:eastAsia="fr-FR"/>
        </w:rPr>
        <w:t xml:space="preserve"> </w:t>
      </w:r>
      <w:r w:rsidR="00674D88" w:rsidRPr="00674D88">
        <w:rPr>
          <w:rFonts w:eastAsia="Arial" w:cs="Times New Roman"/>
          <w:b/>
          <w:lang w:eastAsia="fr-FR"/>
        </w:rPr>
        <w:t>Assistance à maîtrise d’ouvrage pour la communication globale et de proximité</w:t>
      </w:r>
      <w:r w:rsidRPr="00B81DD5">
        <w:rPr>
          <w:rFonts w:eastAsia="Arial" w:cs="Times New Roman"/>
          <w:b/>
          <w:lang w:eastAsia="fr-FR"/>
        </w:rPr>
        <w:t>»</w:t>
      </w:r>
    </w:p>
    <w:p w14:paraId="706A492E" w14:textId="77777777" w:rsidR="0023098E" w:rsidRPr="007118C4" w:rsidRDefault="0023098E" w:rsidP="0092312C">
      <w:pPr>
        <w:pBdr>
          <w:top w:val="single" w:sz="4" w:space="1" w:color="auto"/>
          <w:left w:val="single" w:sz="4" w:space="4" w:color="auto"/>
          <w:bottom w:val="single" w:sz="4" w:space="0" w:color="auto"/>
          <w:right w:val="single" w:sz="4" w:space="4" w:color="auto"/>
        </w:pBdr>
        <w:shd w:val="clear" w:color="auto" w:fill="F2F2F2"/>
        <w:spacing w:before="40" w:after="40"/>
        <w:jc w:val="center"/>
        <w:rPr>
          <w:rFonts w:ascii="Arial" w:eastAsia="Arial" w:hAnsi="Arial" w:cs="Times New Roman"/>
          <w:b/>
          <w:sz w:val="24"/>
          <w:szCs w:val="20"/>
          <w:lang w:eastAsia="fr-FR"/>
        </w:rPr>
      </w:pPr>
    </w:p>
    <w:p w14:paraId="388651A3" w14:textId="77777777" w:rsidR="0092312C" w:rsidRPr="00BD1A91" w:rsidRDefault="0092312C" w:rsidP="00BD1A91">
      <w:pPr>
        <w:pStyle w:val="CSNETITRE1"/>
        <w:numPr>
          <w:ilvl w:val="0"/>
          <w:numId w:val="12"/>
        </w:numPr>
      </w:pPr>
      <w:bookmarkStart w:id="199" w:name="_Toc530391173"/>
      <w:bookmarkStart w:id="200" w:name="_Toc119173989"/>
      <w:r w:rsidRPr="00BD1A91">
        <w:t>Dépôt sur PLACE et accusé de réception</w:t>
      </w:r>
      <w:bookmarkEnd w:id="199"/>
      <w:bookmarkEnd w:id="200"/>
    </w:p>
    <w:p w14:paraId="13F6B1A9" w14:textId="77777777" w:rsidR="0023098E" w:rsidRDefault="0023098E" w:rsidP="0092312C">
      <w:pPr>
        <w:rPr>
          <w:rFonts w:ascii="Arial" w:eastAsia="SimSun" w:hAnsi="Arial" w:cs="Calibri"/>
          <w:color w:val="404040"/>
          <w:sz w:val="20"/>
          <w:szCs w:val="18"/>
          <w:lang w:eastAsia="zh-CN"/>
        </w:rPr>
      </w:pPr>
    </w:p>
    <w:p w14:paraId="7A0A52E5" w14:textId="77777777" w:rsidR="0092312C" w:rsidRPr="002B741F" w:rsidRDefault="0092312C" w:rsidP="002B741F">
      <w:pPr>
        <w:spacing w:line="276" w:lineRule="auto"/>
        <w:rPr>
          <w:rFonts w:eastAsia="SimSun" w:cstheme="minorHAnsi"/>
          <w:lang w:eastAsia="zh-CN"/>
        </w:rPr>
      </w:pPr>
      <w:r w:rsidRPr="002B741F">
        <w:rPr>
          <w:rFonts w:eastAsia="SimSun" w:cstheme="minorHAnsi"/>
          <w:lang w:eastAsia="zh-CN"/>
        </w:rPr>
        <w:t>Un message indiquant aux opérateurs économiques que l’opération de dépôt sur PLACE de la réponse a été réalisée avec succès leur est affiché, puis un accusé de réception leur est adressé par courrier électronique donnant à leur dépôt une date certaine, la date et l'heure de fin de réception faisant référence. L'absence de message de confirmation de bonne réception et d'accusé de réception électronique signifie à l’opérateur économique que sa réponse n'est pas parvenue à la Société du Canel Seine-Nord Europe.</w:t>
      </w:r>
    </w:p>
    <w:p w14:paraId="791B055D" w14:textId="77777777" w:rsidR="0092312C" w:rsidRPr="002B741F" w:rsidRDefault="0092312C" w:rsidP="002B741F">
      <w:pPr>
        <w:spacing w:line="276" w:lineRule="auto"/>
        <w:rPr>
          <w:rFonts w:eastAsia="SimSun" w:cstheme="minorHAnsi"/>
          <w:lang w:eastAsia="zh-CN"/>
        </w:rPr>
      </w:pPr>
    </w:p>
    <w:p w14:paraId="1CA9A976" w14:textId="77777777" w:rsidR="0092312C" w:rsidRPr="002B741F" w:rsidRDefault="0092312C" w:rsidP="002B741F">
      <w:pPr>
        <w:spacing w:line="276" w:lineRule="auto"/>
        <w:rPr>
          <w:rFonts w:eastAsia="SimSun" w:cstheme="minorHAnsi"/>
          <w:lang w:eastAsia="zh-CN"/>
        </w:rPr>
      </w:pPr>
      <w:r w:rsidRPr="002B741F">
        <w:rPr>
          <w:rFonts w:eastAsia="SimSun" w:cstheme="minorHAnsi"/>
          <w:lang w:eastAsia="zh-CN"/>
        </w:rPr>
        <w:t>Il est rappelé que la durée du téléchargement est fonction du débit de l’accès à Internet de l’opérateur économique et de la taille des documents à transmettre.</w:t>
      </w:r>
    </w:p>
    <w:p w14:paraId="33D6E444" w14:textId="77777777" w:rsidR="0092312C" w:rsidRPr="002B741F" w:rsidRDefault="0092312C" w:rsidP="002B741F">
      <w:pPr>
        <w:spacing w:line="276" w:lineRule="auto"/>
        <w:rPr>
          <w:rFonts w:eastAsia="SimSun" w:cstheme="minorHAnsi"/>
          <w:lang w:eastAsia="zh-CN"/>
        </w:rPr>
      </w:pPr>
    </w:p>
    <w:p w14:paraId="55FFDAB8" w14:textId="77777777" w:rsidR="0092312C" w:rsidRPr="002B741F" w:rsidRDefault="0092312C" w:rsidP="002B741F">
      <w:pPr>
        <w:spacing w:line="276" w:lineRule="auto"/>
        <w:rPr>
          <w:rFonts w:eastAsia="SimSun" w:cstheme="minorHAnsi"/>
          <w:lang w:eastAsia="zh-CN"/>
        </w:rPr>
      </w:pPr>
      <w:r w:rsidRPr="002B741F">
        <w:rPr>
          <w:rFonts w:eastAsia="SimSun" w:cstheme="minorHAnsi"/>
          <w:lang w:eastAsia="zh-CN"/>
        </w:rPr>
        <w:t>Les dossiers qui seraient remis, ou dont l’avis de réception serait délivré après la date et l’heure limites de réception des candidatures ou des offres seront considérés hors délais et ne seront pas retenus.</w:t>
      </w:r>
    </w:p>
    <w:p w14:paraId="5376B2C3" w14:textId="77777777" w:rsidR="0092312C" w:rsidRPr="002B741F" w:rsidRDefault="0092312C" w:rsidP="002B741F">
      <w:pPr>
        <w:spacing w:line="276" w:lineRule="auto"/>
        <w:rPr>
          <w:rFonts w:eastAsia="SimSun" w:cstheme="minorHAnsi"/>
          <w:bCs/>
          <w:caps/>
          <w:lang w:eastAsia="zh-CN"/>
        </w:rPr>
      </w:pPr>
    </w:p>
    <w:p w14:paraId="0BB4CE97" w14:textId="77777777" w:rsidR="0092312C" w:rsidRPr="002B741F" w:rsidRDefault="0092312C" w:rsidP="002B741F">
      <w:pPr>
        <w:spacing w:line="276" w:lineRule="auto"/>
        <w:rPr>
          <w:rFonts w:eastAsia="SimSun" w:cstheme="minorHAnsi"/>
          <w:lang w:eastAsia="zh-CN"/>
        </w:rPr>
      </w:pPr>
      <w:r w:rsidRPr="002B741F">
        <w:rPr>
          <w:rFonts w:eastAsia="SimSun" w:cstheme="minorHAnsi"/>
          <w:bCs/>
          <w:lang w:eastAsia="zh-CN"/>
        </w:rPr>
        <w:t>Pour tout complément d’information ou toute difficulté relative à l’utilisation de la plateforme de dématérialisation, les opérateurs économiques sont invités à contacter le service support PLACE de 09h à 19h au 01.76.64.74.07 ou à l’adresse suivante :</w:t>
      </w:r>
      <w:r w:rsidRPr="002B741F">
        <w:rPr>
          <w:rFonts w:eastAsia="SimSun" w:cstheme="minorHAnsi"/>
          <w:bCs/>
          <w:caps/>
          <w:u w:val="single"/>
          <w:lang w:eastAsia="zh-CN"/>
        </w:rPr>
        <w:t xml:space="preserve"> </w:t>
      </w:r>
      <w:hyperlink r:id="rId31" w:history="1">
        <w:r w:rsidRPr="002B741F">
          <w:rPr>
            <w:rFonts w:eastAsia="SimSun" w:cstheme="minorHAnsi"/>
            <w:bCs/>
            <w:u w:val="single"/>
            <w:lang w:eastAsia="zh-CN"/>
          </w:rPr>
          <w:t>place.support@atexo.com</w:t>
        </w:r>
      </w:hyperlink>
      <w:r w:rsidRPr="002B741F">
        <w:rPr>
          <w:rFonts w:eastAsia="Arial" w:cstheme="minorHAnsi"/>
          <w:bCs/>
          <w:iCs/>
          <w:caps/>
          <w:spacing w:val="-2"/>
          <w:u w:val="single"/>
        </w:rPr>
        <w:t>.</w:t>
      </w:r>
      <w:bookmarkEnd w:id="100"/>
      <w:bookmarkEnd w:id="101"/>
      <w:bookmarkEnd w:id="102"/>
      <w:bookmarkEnd w:id="103"/>
      <w:bookmarkEnd w:id="104"/>
      <w:bookmarkEnd w:id="105"/>
      <w:bookmarkEnd w:id="106"/>
      <w:bookmarkEnd w:id="107"/>
      <w:bookmarkEnd w:id="108"/>
    </w:p>
    <w:p w14:paraId="326631FA" w14:textId="77777777" w:rsidR="0092312C" w:rsidRPr="0092312C" w:rsidRDefault="0092312C" w:rsidP="0092312C">
      <w:pPr>
        <w:pStyle w:val="CSNETITRE2"/>
        <w:numPr>
          <w:ilvl w:val="0"/>
          <w:numId w:val="0"/>
        </w:numPr>
      </w:pPr>
    </w:p>
    <w:p w14:paraId="1598035D" w14:textId="77777777" w:rsidR="00475B4B" w:rsidRDefault="00475B4B" w:rsidP="00D833CA">
      <w:pPr>
        <w:spacing w:line="276" w:lineRule="auto"/>
      </w:pPr>
    </w:p>
    <w:p w14:paraId="03C5BB77" w14:textId="77777777" w:rsidR="00B93C94" w:rsidRDefault="00B93C94" w:rsidP="00D833CA">
      <w:pPr>
        <w:spacing w:line="276" w:lineRule="auto"/>
        <w:sectPr w:rsidR="00B93C94" w:rsidSect="00755234">
          <w:headerReference w:type="default" r:id="rId32"/>
          <w:footerReference w:type="default" r:id="rId33"/>
          <w:pgSz w:w="11906" w:h="16838" w:code="9"/>
          <w:pgMar w:top="1985" w:right="1134" w:bottom="1985" w:left="1418" w:header="567" w:footer="454" w:gutter="0"/>
          <w:cols w:space="708"/>
          <w:docGrid w:linePitch="360"/>
        </w:sectPr>
      </w:pPr>
    </w:p>
    <w:p w14:paraId="53B56BF1" w14:textId="77777777" w:rsidR="00BC1944" w:rsidRDefault="00BC1944" w:rsidP="00D833CA">
      <w:pPr>
        <w:spacing w:line="276" w:lineRule="auto"/>
      </w:pPr>
    </w:p>
    <w:sectPr w:rsidR="00BC1944" w:rsidSect="0005456C">
      <w:headerReference w:type="default" r:id="rId34"/>
      <w:footerReference w:type="default" r:id="rId35"/>
      <w:pgSz w:w="11906" w:h="16838" w:code="9"/>
      <w:pgMar w:top="1985" w:right="1134" w:bottom="1985" w:left="1418" w:header="567"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AA06" w16cex:dateUtc="2021-02-07T17:03:00Z"/>
  <w16cex:commentExtensible w16cex:durableId="23CAA80D" w16cex:dateUtc="2021-02-07T16:55:00Z"/>
  <w16cex:commentExtensible w16cex:durableId="23CAA86D" w16cex:dateUtc="2021-02-07T16:57:00Z"/>
  <w16cex:commentExtensible w16cex:durableId="23CAACFC" w16cex:dateUtc="2021-02-07T17:16:00Z"/>
  <w16cex:commentExtensible w16cex:durableId="23CAA8BF" w16cex:dateUtc="2021-02-07T16:58:00Z"/>
  <w16cex:commentExtensible w16cex:durableId="23CAA8E0" w16cex:dateUtc="2021-02-07T16:58:00Z"/>
  <w16cex:commentExtensible w16cex:durableId="23CAA91D" w16cex:dateUtc="2021-02-07T16:59:00Z"/>
  <w16cex:commentExtensible w16cex:durableId="23CAA945" w16cex:dateUtc="2021-02-07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640053" w16cid:durableId="23CAAA06"/>
  <w16cid:commentId w16cid:paraId="795E5148" w16cid:durableId="23CAA7C2"/>
  <w16cid:commentId w16cid:paraId="3B66808D" w16cid:durableId="23CAA80D"/>
  <w16cid:commentId w16cid:paraId="62C4C520" w16cid:durableId="23CAA7C3"/>
  <w16cid:commentId w16cid:paraId="1FB4F06A" w16cid:durableId="23CAA86D"/>
  <w16cid:commentId w16cid:paraId="7FCAFE16" w16cid:durableId="23CAACFC"/>
  <w16cid:commentId w16cid:paraId="5FB26620" w16cid:durableId="23CAA7C4"/>
  <w16cid:commentId w16cid:paraId="718A6217" w16cid:durableId="23CAA8BF"/>
  <w16cid:commentId w16cid:paraId="0B39C773" w16cid:durableId="23CAA8E0"/>
  <w16cid:commentId w16cid:paraId="17A71B74" w16cid:durableId="23CAA91D"/>
  <w16cid:commentId w16cid:paraId="293D0355" w16cid:durableId="23CAA7C5"/>
  <w16cid:commentId w16cid:paraId="4CED9D9C" w16cid:durableId="23CAA9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A1DD8" w14:textId="77777777" w:rsidR="00E9677A" w:rsidRDefault="00E9677A" w:rsidP="00B202D3">
      <w:r>
        <w:separator/>
      </w:r>
    </w:p>
  </w:endnote>
  <w:endnote w:type="continuationSeparator" w:id="0">
    <w:p w14:paraId="74978B6E" w14:textId="77777777" w:rsidR="00E9677A" w:rsidRDefault="00E9677A" w:rsidP="00B2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F793" w14:textId="77777777" w:rsidR="00E9677A" w:rsidRDefault="00E9677A" w:rsidP="001A3F57">
    <w:pPr>
      <w:pStyle w:val="Pieddepage"/>
      <w:spacing w:after="360"/>
    </w:pPr>
    <w:r>
      <w:rPr>
        <w:noProof/>
        <w:lang w:eastAsia="fr-FR"/>
      </w:rPr>
      <w:drawing>
        <wp:anchor distT="0" distB="0" distL="114300" distR="114300" simplePos="0" relativeHeight="251675648" behindDoc="1" locked="0" layoutInCell="1" allowOverlap="1" wp14:anchorId="5B90BD3F" wp14:editId="5AB912AB">
          <wp:simplePos x="0" y="0"/>
          <wp:positionH relativeFrom="column">
            <wp:posOffset>-161291</wp:posOffset>
          </wp:positionH>
          <wp:positionV relativeFrom="paragraph">
            <wp:posOffset>-408940</wp:posOffset>
          </wp:positionV>
          <wp:extent cx="1198833" cy="869950"/>
          <wp:effectExtent l="0" t="0" r="0" b="0"/>
          <wp:wrapNone/>
          <wp:docPr id="1" name="Image 1" descr="C:\Users\hab\Downloads\CSNE_200914_LOGO_SCSN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Downloads\CSNE_200914_LOGO_SCSN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13" cy="8753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893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8221"/>
      <w:gridCol w:w="709"/>
    </w:tblGrid>
    <w:tr w:rsidR="00E9677A" w14:paraId="525D1D12" w14:textId="77777777" w:rsidTr="006B686B">
      <w:tc>
        <w:tcPr>
          <w:tcW w:w="8221" w:type="dxa"/>
          <w:vAlign w:val="center"/>
        </w:tcPr>
        <w:p w14:paraId="240CB992" w14:textId="41FE9FD9" w:rsidR="00E9677A" w:rsidRDefault="00E9677A" w:rsidP="00CB4576">
          <w:pPr>
            <w:pStyle w:val="Pieddepage"/>
          </w:pPr>
          <w:r>
            <w:rPr>
              <w:noProof/>
            </w:rPr>
            <w:fldChar w:fldCharType="begin"/>
          </w:r>
          <w:r>
            <w:rPr>
              <w:noProof/>
            </w:rPr>
            <w:instrText xml:space="preserve"> STYLEREF  "CSNE_TITRE DOC"  \* CHARFORMAT </w:instrText>
          </w:r>
          <w:r>
            <w:rPr>
              <w:noProof/>
            </w:rPr>
            <w:fldChar w:fldCharType="end"/>
          </w:r>
          <w:r>
            <w:t xml:space="preserve">  </w:t>
          </w:r>
          <w:r>
            <w:rPr>
              <w:noProof/>
            </w:rPr>
            <w:fldChar w:fldCharType="begin"/>
          </w:r>
          <w:r>
            <w:rPr>
              <w:noProof/>
            </w:rPr>
            <w:instrText xml:space="preserve"> STYLEREF  CSNE_Date  \* MERGEFORMAT </w:instrText>
          </w:r>
          <w:r>
            <w:rPr>
              <w:noProof/>
            </w:rPr>
            <w:fldChar w:fldCharType="end"/>
          </w:r>
        </w:p>
      </w:tc>
      <w:tc>
        <w:tcPr>
          <w:tcW w:w="709" w:type="dxa"/>
          <w:vAlign w:val="center"/>
        </w:tcPr>
        <w:p w14:paraId="1737CA6B" w14:textId="238D590A" w:rsidR="00E9677A" w:rsidRPr="00B202D3" w:rsidRDefault="00E9677A" w:rsidP="00B202D3">
          <w:pPr>
            <w:pStyle w:val="Pieddepage"/>
            <w:jc w:val="right"/>
            <w:rPr>
              <w:color w:val="000000" w:themeColor="text1"/>
              <w:sz w:val="24"/>
              <w:szCs w:val="24"/>
            </w:rPr>
          </w:pPr>
          <w:r w:rsidRPr="00B202D3">
            <w:rPr>
              <w:rStyle w:val="Numrodepage"/>
              <w:szCs w:val="24"/>
            </w:rPr>
            <w:fldChar w:fldCharType="begin"/>
          </w:r>
          <w:r w:rsidRPr="00B202D3">
            <w:rPr>
              <w:rStyle w:val="Numrodepage"/>
              <w:szCs w:val="24"/>
            </w:rPr>
            <w:instrText xml:space="preserve"> PAGE </w:instrText>
          </w:r>
          <w:r w:rsidRPr="00B202D3">
            <w:rPr>
              <w:rStyle w:val="Numrodepage"/>
              <w:szCs w:val="24"/>
            </w:rPr>
            <w:fldChar w:fldCharType="separate"/>
          </w:r>
          <w:r w:rsidR="0082178B">
            <w:rPr>
              <w:rStyle w:val="Numrodepage"/>
              <w:noProof/>
              <w:szCs w:val="24"/>
            </w:rPr>
            <w:t>14</w:t>
          </w:r>
          <w:r w:rsidRPr="00B202D3">
            <w:rPr>
              <w:rStyle w:val="Numrodepage"/>
              <w:szCs w:val="24"/>
            </w:rPr>
            <w:fldChar w:fldCharType="end"/>
          </w:r>
        </w:p>
      </w:tc>
    </w:tr>
  </w:tbl>
  <w:p w14:paraId="59313034" w14:textId="77777777" w:rsidR="00E9677A" w:rsidRPr="00B202D3" w:rsidRDefault="00E9677A">
    <w:pPr>
      <w:pStyle w:val="Pieddepage"/>
      <w:rPr>
        <w:sz w:val="2"/>
        <w:szCs w:val="2"/>
      </w:rPr>
    </w:pPr>
    <w:r>
      <w:rPr>
        <w:noProof/>
        <w:sz w:val="2"/>
        <w:szCs w:val="2"/>
        <w:lang w:eastAsia="fr-FR"/>
      </w:rPr>
      <w:drawing>
        <wp:anchor distT="0" distB="0" distL="114300" distR="114300" simplePos="0" relativeHeight="251670528" behindDoc="1" locked="1" layoutInCell="1" allowOverlap="1" wp14:anchorId="069EB1FB" wp14:editId="111E9306">
          <wp:simplePos x="0" y="0"/>
          <wp:positionH relativeFrom="page">
            <wp:posOffset>900430</wp:posOffset>
          </wp:positionH>
          <wp:positionV relativeFrom="page">
            <wp:posOffset>9598660</wp:posOffset>
          </wp:positionV>
          <wp:extent cx="438785" cy="1079500"/>
          <wp:effectExtent l="0" t="0" r="0" b="635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nal-seine-nord-visuel-clef.png"/>
                  <pic:cNvPicPr/>
                </pic:nvPicPr>
                <pic:blipFill>
                  <a:blip r:embed="rId1">
                    <a:extLst>
                      <a:ext uri="{28A0092B-C50C-407E-A947-70E740481C1C}">
                        <a14:useLocalDpi xmlns:a14="http://schemas.microsoft.com/office/drawing/2010/main" val="0"/>
                      </a:ext>
                    </a:extLst>
                  </a:blip>
                  <a:stretch>
                    <a:fillRect/>
                  </a:stretch>
                </pic:blipFill>
                <pic:spPr>
                  <a:xfrm>
                    <a:off x="0" y="0"/>
                    <a:ext cx="438785" cy="1079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DF7FD" w14:textId="77777777" w:rsidR="00E9677A" w:rsidRPr="00BC1944" w:rsidRDefault="00E9677A" w:rsidP="0013706A">
    <w:pPr>
      <w:pStyle w:val="Pieddepage"/>
      <w:ind w:left="-284"/>
    </w:pPr>
    <w:r>
      <w:rPr>
        <w:noProof/>
        <w:lang w:eastAsia="fr-FR"/>
      </w:rPr>
      <w:drawing>
        <wp:anchor distT="0" distB="0" distL="114300" distR="114300" simplePos="0" relativeHeight="251676672" behindDoc="0" locked="0" layoutInCell="1" allowOverlap="1" wp14:anchorId="20E8DB1C" wp14:editId="202A8E46">
          <wp:simplePos x="0" y="0"/>
          <wp:positionH relativeFrom="column">
            <wp:posOffset>4056159</wp:posOffset>
          </wp:positionH>
          <wp:positionV relativeFrom="paragraph">
            <wp:posOffset>-616696</wp:posOffset>
          </wp:positionV>
          <wp:extent cx="1081371" cy="772381"/>
          <wp:effectExtent l="0" t="0" r="0" b="8890"/>
          <wp:wrapNone/>
          <wp:docPr id="4" name="Imag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 partenaires financiers.png"/>
                  <pic:cNvPicPr/>
                </pic:nvPicPr>
                <pic:blipFill rotWithShape="1">
                  <a:blip r:embed="rId2">
                    <a:extLst>
                      <a:ext uri="{28A0092B-C50C-407E-A947-70E740481C1C}">
                        <a14:useLocalDpi xmlns:a14="http://schemas.microsoft.com/office/drawing/2010/main" val="0"/>
                      </a:ext>
                    </a:extLst>
                  </a:blip>
                  <a:srcRect l="75295" t="26797" r="546" b="3538"/>
                  <a:stretch/>
                </pic:blipFill>
                <pic:spPr bwMode="auto">
                  <a:xfrm>
                    <a:off x="0" y="0"/>
                    <a:ext cx="1081371" cy="7723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7696" behindDoc="0" locked="0" layoutInCell="1" allowOverlap="1" wp14:anchorId="1BA0E9C0" wp14:editId="073427D2">
          <wp:simplePos x="0" y="0"/>
          <wp:positionH relativeFrom="column">
            <wp:posOffset>-487266</wp:posOffset>
          </wp:positionH>
          <wp:positionV relativeFrom="paragraph">
            <wp:posOffset>-1176379</wp:posOffset>
          </wp:positionV>
          <wp:extent cx="3990975" cy="1289050"/>
          <wp:effectExtent l="0" t="0" r="9525"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 partenaires financiers.png"/>
                  <pic:cNvPicPr/>
                </pic:nvPicPr>
                <pic:blipFill rotWithShape="1">
                  <a:blip r:embed="rId2">
                    <a:extLst>
                      <a:ext uri="{28A0092B-C50C-407E-A947-70E740481C1C}">
                        <a14:useLocalDpi xmlns:a14="http://schemas.microsoft.com/office/drawing/2010/main" val="0"/>
                      </a:ext>
                    </a:extLst>
                  </a:blip>
                  <a:srcRect l="1284" r="24730" b="3539"/>
                  <a:stretch/>
                </pic:blipFill>
                <pic:spPr bwMode="auto">
                  <a:xfrm>
                    <a:off x="0" y="0"/>
                    <a:ext cx="3990975"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F4F6" w14:textId="77777777" w:rsidR="00E9677A" w:rsidRDefault="00E9677A" w:rsidP="00B202D3">
      <w:r>
        <w:separator/>
      </w:r>
    </w:p>
  </w:footnote>
  <w:footnote w:type="continuationSeparator" w:id="0">
    <w:p w14:paraId="17045AB9" w14:textId="77777777" w:rsidR="00E9677A" w:rsidRDefault="00E9677A" w:rsidP="00B2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76B6" w14:textId="77777777" w:rsidR="00E9677A" w:rsidRDefault="00E9677A">
    <w:pPr>
      <w:pStyle w:val="En-tte"/>
    </w:pPr>
    <w:r w:rsidRPr="00212D1D">
      <w:rPr>
        <w:noProof/>
        <w:lang w:eastAsia="fr-FR"/>
      </w:rPr>
      <w:drawing>
        <wp:anchor distT="0" distB="0" distL="114300" distR="114300" simplePos="0" relativeHeight="251673600" behindDoc="1" locked="0" layoutInCell="1" allowOverlap="1" wp14:anchorId="01FBAFD7" wp14:editId="2F956A0D">
          <wp:simplePos x="0" y="0"/>
          <wp:positionH relativeFrom="column">
            <wp:posOffset>-474345</wp:posOffset>
          </wp:positionH>
          <wp:positionV relativeFrom="paragraph">
            <wp:posOffset>-367573</wp:posOffset>
          </wp:positionV>
          <wp:extent cx="7640947" cy="10793889"/>
          <wp:effectExtent l="0" t="0" r="0" b="7620"/>
          <wp:wrapNone/>
          <wp:docPr id="17" name="Image 17" descr="C:\Users\hab\AppData\Local\Temp\Rar$DIa0.511\CSNE_200914_VisuelClé_Fonds_RVB_Sillage_FondBlanc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AppData\Local\Temp\Rar$DIa0.511\CSNE_200914_VisuelClé_Fonds_RVB_Sillage_FondBlanc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947" cy="107938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6432" behindDoc="1" locked="0" layoutInCell="1" allowOverlap="1" wp14:anchorId="12124F3E" wp14:editId="6376B1D2">
          <wp:simplePos x="0" y="0"/>
          <wp:positionH relativeFrom="column">
            <wp:posOffset>-205740</wp:posOffset>
          </wp:positionH>
          <wp:positionV relativeFrom="paragraph">
            <wp:posOffset>249555</wp:posOffset>
          </wp:positionV>
          <wp:extent cx="2524125" cy="838832"/>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M_Logo CSNE bleu.jpg"/>
                  <pic:cNvPicPr/>
                </pic:nvPicPr>
                <pic:blipFill>
                  <a:blip r:embed="rId2">
                    <a:extLst>
                      <a:ext uri="{28A0092B-C50C-407E-A947-70E740481C1C}">
                        <a14:useLocalDpi xmlns:a14="http://schemas.microsoft.com/office/drawing/2010/main" val="0"/>
                      </a:ext>
                    </a:extLst>
                  </a:blip>
                  <a:stretch>
                    <a:fillRect/>
                  </a:stretch>
                </pic:blipFill>
                <pic:spPr>
                  <a:xfrm>
                    <a:off x="0" y="0"/>
                    <a:ext cx="2546427" cy="8462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0654" w14:textId="77777777" w:rsidR="00E9677A" w:rsidRDefault="00E9677A">
    <w:pPr>
      <w:pStyle w:val="En-tte"/>
    </w:pPr>
    <w:r>
      <w:rPr>
        <w:noProof/>
        <w:sz w:val="2"/>
        <w:szCs w:val="2"/>
        <w:lang w:eastAsia="fr-FR"/>
      </w:rPr>
      <w:drawing>
        <wp:anchor distT="0" distB="0" distL="114300" distR="114300" simplePos="0" relativeHeight="251668480" behindDoc="1" locked="1" layoutInCell="1" allowOverlap="1" wp14:anchorId="090E22D6" wp14:editId="7E5B10C1">
          <wp:simplePos x="0" y="0"/>
          <wp:positionH relativeFrom="page">
            <wp:posOffset>835660</wp:posOffset>
          </wp:positionH>
          <wp:positionV relativeFrom="page">
            <wp:posOffset>106045</wp:posOffset>
          </wp:positionV>
          <wp:extent cx="438785" cy="1079500"/>
          <wp:effectExtent l="0" t="0" r="0" b="635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nal-seine-nord-visuel-clef.png"/>
                  <pic:cNvPicPr/>
                </pic:nvPicPr>
                <pic:blipFill>
                  <a:blip r:embed="rId1">
                    <a:extLst>
                      <a:ext uri="{28A0092B-C50C-407E-A947-70E740481C1C}">
                        <a14:useLocalDpi xmlns:a14="http://schemas.microsoft.com/office/drawing/2010/main" val="0"/>
                      </a:ext>
                    </a:extLst>
                  </a:blip>
                  <a:stretch>
                    <a:fillRect/>
                  </a:stretch>
                </pic:blipFill>
                <pic:spPr>
                  <a:xfrm>
                    <a:off x="0" y="0"/>
                    <a:ext cx="438785"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07E5" w14:textId="77777777" w:rsidR="00E9677A" w:rsidRPr="00BC1944" w:rsidRDefault="00E9677A" w:rsidP="00BC1944">
    <w:pPr>
      <w:pStyle w:val="En-tte"/>
    </w:pPr>
    <w:r w:rsidRPr="00FC7C44">
      <w:rPr>
        <w:noProof/>
        <w:lang w:eastAsia="fr-FR"/>
      </w:rPr>
      <w:drawing>
        <wp:anchor distT="0" distB="0" distL="114300" distR="114300" simplePos="0" relativeHeight="251674624" behindDoc="1" locked="0" layoutInCell="1" allowOverlap="1" wp14:anchorId="5CFB006E" wp14:editId="244C5F18">
          <wp:simplePos x="0" y="0"/>
          <wp:positionH relativeFrom="column">
            <wp:posOffset>258519</wp:posOffset>
          </wp:positionH>
          <wp:positionV relativeFrom="paragraph">
            <wp:posOffset>-350101</wp:posOffset>
          </wp:positionV>
          <wp:extent cx="7619139" cy="10765341"/>
          <wp:effectExtent l="0" t="0" r="1270" b="0"/>
          <wp:wrapNone/>
          <wp:docPr id="5" name="Image 5" descr="C:\Users\hab\AppData\Local\Temp\Rar$DIa0.511\CSNE_200914_VisuelClé_Fonds_RVB_Sillage_FondBlanc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AppData\Local\Temp\Rar$DIa0.511\CSNE_200914_VisuelClé_Fonds_RVB_Sillage_FondBlanc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474" cy="107672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C6D6D8"/>
    <w:lvl w:ilvl="0">
      <w:start w:val="1"/>
      <w:numFmt w:val="decimal"/>
      <w:lvlText w:val="%1."/>
      <w:lvlJc w:val="left"/>
      <w:pPr>
        <w:tabs>
          <w:tab w:val="num" w:pos="360"/>
        </w:tabs>
        <w:ind w:left="360" w:hanging="360"/>
      </w:pPr>
    </w:lvl>
  </w:abstractNum>
  <w:abstractNum w:abstractNumId="1" w15:restartNumberingAfterBreak="0">
    <w:nsid w:val="07BC565E"/>
    <w:multiLevelType w:val="hybridMultilevel"/>
    <w:tmpl w:val="E1646BEA"/>
    <w:lvl w:ilvl="0" w:tplc="4C5A9634">
      <w:start w:val="1"/>
      <w:numFmt w:val="upperLetter"/>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780B5F"/>
    <w:multiLevelType w:val="hybridMultilevel"/>
    <w:tmpl w:val="AACE49BC"/>
    <w:lvl w:ilvl="0" w:tplc="FEA21ED8">
      <w:numFmt w:val="bullet"/>
      <w:lvlText w:val="-"/>
      <w:lvlJc w:val="left"/>
      <w:pPr>
        <w:ind w:left="720" w:hanging="360"/>
      </w:pPr>
      <w:rPr>
        <w:rFonts w:ascii="Calibri" w:eastAsia="Arial"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75349F"/>
    <w:multiLevelType w:val="hybridMultilevel"/>
    <w:tmpl w:val="C968364C"/>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02A45E2"/>
    <w:multiLevelType w:val="hybridMultilevel"/>
    <w:tmpl w:val="08527D90"/>
    <w:lvl w:ilvl="0" w:tplc="71B81D86">
      <w:start w:val="1"/>
      <w:numFmt w:val="bullet"/>
      <w:pStyle w:val="SETECTextepuce2"/>
      <w:lvlText w:val="-"/>
      <w:lvlJc w:val="left"/>
      <w:pPr>
        <w:ind w:left="360" w:hanging="360"/>
      </w:pPr>
      <w:rPr>
        <w:rFonts w:ascii="Courier New" w:hAnsi="Courier New" w:hint="default"/>
        <w:b/>
        <w:i w:val="0"/>
        <w:color w:val="80BC00" w:themeColor="accent3"/>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44932"/>
    <w:multiLevelType w:val="hybridMultilevel"/>
    <w:tmpl w:val="AF7CB71A"/>
    <w:lvl w:ilvl="0" w:tplc="040C0001">
      <w:start w:val="1"/>
      <w:numFmt w:val="bullet"/>
      <w:lvlText w:val=""/>
      <w:lvlJc w:val="left"/>
      <w:pPr>
        <w:ind w:left="720" w:hanging="360"/>
      </w:pPr>
      <w:rPr>
        <w:rFonts w:ascii="Symbol" w:hAnsi="Symbol" w:hint="default"/>
        <w:color w:val="80BC00" w:themeColor="accent3"/>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40A72AD"/>
    <w:multiLevelType w:val="hybridMultilevel"/>
    <w:tmpl w:val="FDA42EAE"/>
    <w:lvl w:ilvl="0" w:tplc="7C4AB5F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5686B07"/>
    <w:multiLevelType w:val="multilevel"/>
    <w:tmpl w:val="358A608E"/>
    <w:name w:val="Puce CSNE"/>
    <w:lvl w:ilvl="0">
      <w:start w:val="1"/>
      <w:numFmt w:val="upperLetter"/>
      <w:suff w:val="space"/>
      <w:lvlText w:val="%1."/>
      <w:lvlJc w:val="left"/>
      <w:pPr>
        <w:ind w:left="0" w:firstLine="0"/>
      </w:pPr>
      <w:rPr>
        <w:rFonts w:hint="default"/>
        <w:color w:val="80BC00" w:themeColor="accent3"/>
      </w:rPr>
    </w:lvl>
    <w:lvl w:ilvl="1">
      <w:start w:val="1"/>
      <w:numFmt w:val="decimal"/>
      <w:suff w:val="space"/>
      <w:lvlText w:val="%1.%2."/>
      <w:lvlJc w:val="left"/>
      <w:pPr>
        <w:ind w:left="0" w:firstLine="0"/>
      </w:pPr>
      <w:rPr>
        <w:rFonts w:hint="default"/>
        <w:b/>
        <w:color w:val="80BC00" w:themeColor="accent3"/>
      </w:rPr>
    </w:lvl>
    <w:lvl w:ilvl="2">
      <w:start w:val="1"/>
      <w:numFmt w:val="decimal"/>
      <w:suff w:val="space"/>
      <w:lvlText w:val="%1.%2.%3."/>
      <w:lvlJc w:val="left"/>
      <w:pPr>
        <w:ind w:left="0" w:firstLine="0"/>
      </w:pPr>
      <w:rPr>
        <w:rFonts w:hint="default"/>
        <w:color w:val="80BC00" w:themeColor="accent3"/>
      </w:rPr>
    </w:lvl>
    <w:lvl w:ilvl="3">
      <w:start w:val="1"/>
      <w:numFmt w:val="decimal"/>
      <w:suff w:val="space"/>
      <w:lvlText w:val="%1.%2.%3.%4."/>
      <w:lvlJc w:val="left"/>
      <w:pPr>
        <w:ind w:left="0" w:firstLine="0"/>
      </w:pPr>
      <w:rPr>
        <w:rFonts w:hint="default"/>
        <w:color w:val="80BC00" w:themeColor="accent3"/>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161F67B0"/>
    <w:multiLevelType w:val="hybridMultilevel"/>
    <w:tmpl w:val="6D0492F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1E8801D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307C03"/>
    <w:multiLevelType w:val="hybridMultilevel"/>
    <w:tmpl w:val="C7280250"/>
    <w:lvl w:ilvl="0" w:tplc="71B81D86">
      <w:start w:val="1"/>
      <w:numFmt w:val="bullet"/>
      <w:lvlText w:val=""/>
      <w:lvlJc w:val="left"/>
      <w:pPr>
        <w:ind w:left="720" w:hanging="360"/>
      </w:pPr>
      <w:rPr>
        <w:rFonts w:ascii="Symbol" w:hAnsi="Symbol" w:hint="default"/>
        <w:color w:val="80BC00"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A43951"/>
    <w:multiLevelType w:val="multilevel"/>
    <w:tmpl w:val="A9C44846"/>
    <w:name w:val="Pièces_marchés"/>
    <w:lvl w:ilvl="0">
      <w:start w:val="1"/>
      <w:numFmt w:val="decimal"/>
      <w:isLgl/>
      <w:lvlText w:val="ARTICLE %1."/>
      <w:lvlJc w:val="left"/>
      <w:pPr>
        <w:ind w:left="1418" w:firstLine="0"/>
      </w:pPr>
      <w:rPr>
        <w:rFonts w:cs="Times New Roman" w:hint="default"/>
        <w:b/>
        <w:i w:val="0"/>
        <w:iCs w:val="0"/>
        <w:smallCaps w:val="0"/>
        <w:strike w:val="0"/>
        <w:dstrike w:val="0"/>
        <w:noProof w:val="0"/>
        <w:vanish w:val="0"/>
        <w:color w:val="80BC00" w:themeColor="accent3"/>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color w:val="80BC00" w:themeColor="accent3"/>
        <w:u w:color="80BC00" w:themeColor="accent3"/>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286D0803"/>
    <w:multiLevelType w:val="hybridMultilevel"/>
    <w:tmpl w:val="32986A16"/>
    <w:lvl w:ilvl="0" w:tplc="71B81D86">
      <w:start w:val="1"/>
      <w:numFmt w:val="bullet"/>
      <w:lvlText w:val=""/>
      <w:lvlJc w:val="left"/>
      <w:pPr>
        <w:ind w:left="720" w:hanging="360"/>
      </w:pPr>
      <w:rPr>
        <w:rFonts w:ascii="Symbol" w:hAnsi="Symbol" w:hint="default"/>
        <w:color w:val="80BC00" w:themeColor="accent3"/>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D682993"/>
    <w:multiLevelType w:val="hybridMultilevel"/>
    <w:tmpl w:val="E1646BEA"/>
    <w:lvl w:ilvl="0" w:tplc="4C5A9634">
      <w:start w:val="1"/>
      <w:numFmt w:val="upperLetter"/>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1F2652"/>
    <w:multiLevelType w:val="hybridMultilevel"/>
    <w:tmpl w:val="86C25756"/>
    <w:lvl w:ilvl="0" w:tplc="040C0001">
      <w:start w:val="1"/>
      <w:numFmt w:val="bullet"/>
      <w:lvlText w:val=""/>
      <w:lvlJc w:val="left"/>
      <w:pPr>
        <w:ind w:left="720" w:hanging="360"/>
      </w:pPr>
      <w:rPr>
        <w:rFonts w:ascii="Symbol" w:hAnsi="Symbol" w:hint="default"/>
        <w:color w:val="80BC00" w:themeColor="accent3"/>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8BF3DAC"/>
    <w:multiLevelType w:val="hybridMultilevel"/>
    <w:tmpl w:val="49BAD338"/>
    <w:lvl w:ilvl="0" w:tplc="040C0001">
      <w:start w:val="1"/>
      <w:numFmt w:val="bullet"/>
      <w:lvlText w:val=""/>
      <w:lvlJc w:val="left"/>
      <w:pPr>
        <w:ind w:left="720" w:hanging="360"/>
      </w:pPr>
      <w:rPr>
        <w:rFonts w:ascii="Symbol" w:hAnsi="Symbol" w:hint="default"/>
        <w:color w:val="80BC00" w:themeColor="accent3"/>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09D7A24"/>
    <w:multiLevelType w:val="hybridMultilevel"/>
    <w:tmpl w:val="B144F642"/>
    <w:lvl w:ilvl="0" w:tplc="D18A33C0">
      <w:start w:val="1"/>
      <w:numFmt w:val="decimal"/>
      <w:pStyle w:val="IllustrationTitre"/>
      <w:lvlText w:val="Illustration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FE60F5"/>
    <w:multiLevelType w:val="multilevel"/>
    <w:tmpl w:val="5F746652"/>
    <w:lvl w:ilvl="0">
      <w:start w:val="1"/>
      <w:numFmt w:val="bullet"/>
      <w:pStyle w:val="SETECTextepuce1"/>
      <w:suff w:val="space"/>
      <w:lvlText w:val=""/>
      <w:lvlJc w:val="left"/>
      <w:pPr>
        <w:ind w:left="227" w:firstLine="0"/>
      </w:pPr>
      <w:rPr>
        <w:rFonts w:ascii="Wingdings" w:hAnsi="Wingdings" w:hint="default"/>
        <w:b w:val="0"/>
        <w:i w:val="0"/>
        <w:color w:val="80BC00" w:themeColor="accent3"/>
      </w:rPr>
    </w:lvl>
    <w:lvl w:ilvl="1">
      <w:numFmt w:val="bullet"/>
      <w:suff w:val="space"/>
      <w:lvlText w:val="-"/>
      <w:lvlJc w:val="left"/>
      <w:pPr>
        <w:ind w:left="567" w:firstLine="0"/>
      </w:pPr>
      <w:rPr>
        <w:rFonts w:ascii="Arial" w:hAnsi="Arial" w:hint="default"/>
        <w:b/>
        <w:i w:val="0"/>
        <w:color w:val="80BC00" w:themeColor="accent3"/>
        <w:sz w:val="20"/>
      </w:rPr>
    </w:lvl>
    <w:lvl w:ilvl="2">
      <w:start w:val="1"/>
      <w:numFmt w:val="bullet"/>
      <w:pStyle w:val="SETECTextepuce3"/>
      <w:suff w:val="space"/>
      <w:lvlText w:val=""/>
      <w:lvlJc w:val="left"/>
      <w:pPr>
        <w:ind w:left="907" w:firstLine="0"/>
      </w:pPr>
      <w:rPr>
        <w:rFonts w:ascii="Wingdings" w:hAnsi="Wingdings" w:hint="default"/>
        <w:color w:val="80BC00" w:themeColor="accent3"/>
      </w:rPr>
    </w:lvl>
    <w:lvl w:ilvl="3">
      <w:start w:val="1"/>
      <w:numFmt w:val="bullet"/>
      <w:pStyle w:val="SETECTextepuce4"/>
      <w:suff w:val="space"/>
      <w:lvlText w:val="-"/>
      <w:lvlJc w:val="left"/>
      <w:pPr>
        <w:ind w:left="1247" w:firstLine="0"/>
      </w:pPr>
      <w:rPr>
        <w:rFonts w:ascii="Arial" w:hAnsi="Arial" w:hint="default"/>
        <w:color w:val="auto"/>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45517299"/>
    <w:multiLevelType w:val="multilevel"/>
    <w:tmpl w:val="75468888"/>
    <w:name w:val="Puce CSNE3"/>
    <w:lvl w:ilvl="0">
      <w:start w:val="1"/>
      <w:numFmt w:val="bullet"/>
      <w:pStyle w:val="Liste"/>
      <w:lvlText w:val=""/>
      <w:lvlJc w:val="left"/>
      <w:pPr>
        <w:ind w:left="737" w:hanging="737"/>
      </w:pPr>
      <w:rPr>
        <w:rFonts w:ascii="Symbol" w:hAnsi="Symbol" w:hint="default"/>
        <w:b/>
        <w:i w:val="0"/>
        <w:color w:val="5F8C00" w:themeColor="accent3" w:themeShade="BF"/>
      </w:rPr>
    </w:lvl>
    <w:lvl w:ilvl="1">
      <w:start w:val="1"/>
      <w:numFmt w:val="bullet"/>
      <w:pStyle w:val="Liste2"/>
      <w:lvlText w:val=""/>
      <w:lvlJc w:val="left"/>
      <w:pPr>
        <w:ind w:left="1134" w:hanging="283"/>
      </w:pPr>
      <w:rPr>
        <w:rFonts w:ascii="Symbol" w:hAnsi="Symbol" w:hint="default"/>
        <w:b/>
        <w:color w:val="5F8C00" w:themeColor="accent3" w:themeShade="BF"/>
      </w:rPr>
    </w:lvl>
    <w:lvl w:ilvl="2">
      <w:start w:val="1"/>
      <w:numFmt w:val="bullet"/>
      <w:pStyle w:val="Liste3"/>
      <w:suff w:val="space"/>
      <w:lvlText w:val=""/>
      <w:lvlJc w:val="left"/>
      <w:pPr>
        <w:ind w:left="1985" w:hanging="284"/>
      </w:pPr>
      <w:rPr>
        <w:rFonts w:ascii="Symbol" w:hAnsi="Symbol" w:hint="default"/>
        <w:color w:val="5F8C00" w:themeColor="accent3" w:themeShade="BF"/>
      </w:rPr>
    </w:lvl>
    <w:lvl w:ilvl="3">
      <w:start w:val="1"/>
      <w:numFmt w:val="bullet"/>
      <w:pStyle w:val="Liste4"/>
      <w:suff w:val="space"/>
      <w:lvlText w:val="-"/>
      <w:lvlJc w:val="left"/>
      <w:pPr>
        <w:ind w:left="1418" w:hanging="283"/>
      </w:pPr>
      <w:rPr>
        <w:rFonts w:ascii="Arial" w:hAnsi="Arial" w:hint="default"/>
        <w:color w:val="5F8C00" w:themeColor="accent3" w:themeShade="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B13CB6"/>
    <w:multiLevelType w:val="multilevel"/>
    <w:tmpl w:val="0F06B7CC"/>
    <w:lvl w:ilvl="0">
      <w:start w:val="1"/>
      <w:numFmt w:val="bullet"/>
      <w:pStyle w:val="CSNEPuce1"/>
      <w:lvlText w:val=""/>
      <w:lvlJc w:val="left"/>
      <w:pPr>
        <w:ind w:left="567" w:hanging="283"/>
      </w:pPr>
      <w:rPr>
        <w:rFonts w:ascii="Wingdings 2" w:hAnsi="Wingdings 2" w:hint="default"/>
        <w:color w:val="6BC9FF" w:themeColor="accent1"/>
      </w:rPr>
    </w:lvl>
    <w:lvl w:ilvl="1">
      <w:start w:val="1"/>
      <w:numFmt w:val="bullet"/>
      <w:pStyle w:val="CSNEPuce2"/>
      <w:lvlText w:val=""/>
      <w:lvlJc w:val="left"/>
      <w:pPr>
        <w:ind w:left="851" w:hanging="283"/>
      </w:pPr>
      <w:rPr>
        <w:rFonts w:ascii="Symbol" w:hAnsi="Symbol" w:hint="default"/>
        <w:color w:val="80BC00" w:themeColor="accent3"/>
      </w:rPr>
    </w:lvl>
    <w:lvl w:ilvl="2">
      <w:start w:val="1"/>
      <w:numFmt w:val="bullet"/>
      <w:lvlText w:val="−"/>
      <w:lvlJc w:val="left"/>
      <w:pPr>
        <w:ind w:left="1135" w:hanging="283"/>
      </w:pPr>
      <w:rPr>
        <w:rFonts w:ascii="Franklin Gothic Book" w:hAnsi="Franklin Gothic Book" w:hint="default"/>
        <w:color w:val="auto"/>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0" w15:restartNumberingAfterBreak="0">
    <w:nsid w:val="498B0BB6"/>
    <w:multiLevelType w:val="multilevel"/>
    <w:tmpl w:val="79C61358"/>
    <w:lvl w:ilvl="0">
      <w:start w:val="1"/>
      <w:numFmt w:val="decimal"/>
      <w:lvlText w:val="%1."/>
      <w:lvlJc w:val="left"/>
      <w:pPr>
        <w:ind w:left="720" w:hanging="360"/>
      </w:pPr>
    </w:lvl>
    <w:lvl w:ilvl="1">
      <w:start w:val="2"/>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A9B59C5"/>
    <w:multiLevelType w:val="hybridMultilevel"/>
    <w:tmpl w:val="57663BEA"/>
    <w:lvl w:ilvl="0" w:tplc="862CC2E8">
      <w:start w:val="99"/>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C508CB"/>
    <w:multiLevelType w:val="multilevel"/>
    <w:tmpl w:val="E8A22F58"/>
    <w:lvl w:ilvl="0">
      <w:start w:val="1"/>
      <w:numFmt w:val="decimal"/>
      <w:pStyle w:val="CSNETITRE1"/>
      <w:suff w:val="space"/>
      <w:lvlText w:val="%1."/>
      <w:lvlJc w:val="left"/>
      <w:pPr>
        <w:ind w:left="0" w:firstLine="0"/>
      </w:pPr>
      <w:rPr>
        <w:rFonts w:hint="default"/>
      </w:rPr>
    </w:lvl>
    <w:lvl w:ilvl="1">
      <w:start w:val="1"/>
      <w:numFmt w:val="decimal"/>
      <w:pStyle w:val="CSNETITRE2"/>
      <w:suff w:val="space"/>
      <w:lvlText w:val="%1.%2."/>
      <w:lvlJc w:val="left"/>
      <w:pPr>
        <w:ind w:left="0" w:firstLine="0"/>
      </w:pPr>
      <w:rPr>
        <w:rFonts w:hint="default"/>
      </w:rPr>
    </w:lvl>
    <w:lvl w:ilvl="2">
      <w:start w:val="1"/>
      <w:numFmt w:val="decimal"/>
      <w:pStyle w:val="CSNETitre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F0656B9"/>
    <w:multiLevelType w:val="hybridMultilevel"/>
    <w:tmpl w:val="5DA26F52"/>
    <w:lvl w:ilvl="0" w:tplc="71B81D86">
      <w:start w:val="1"/>
      <w:numFmt w:val="bullet"/>
      <w:lvlText w:val=""/>
      <w:lvlJc w:val="left"/>
      <w:pPr>
        <w:ind w:left="720" w:hanging="360"/>
      </w:pPr>
      <w:rPr>
        <w:rFonts w:ascii="Symbol" w:hAnsi="Symbol" w:hint="default"/>
        <w:color w:val="80BC00"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D242AF"/>
    <w:multiLevelType w:val="hybridMultilevel"/>
    <w:tmpl w:val="C5CE2784"/>
    <w:lvl w:ilvl="0" w:tplc="040C0003">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876326"/>
    <w:multiLevelType w:val="hybridMultilevel"/>
    <w:tmpl w:val="CF5C8296"/>
    <w:lvl w:ilvl="0" w:tplc="862CC2E8">
      <w:start w:val="99"/>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042168"/>
    <w:multiLevelType w:val="hybridMultilevel"/>
    <w:tmpl w:val="46905F6E"/>
    <w:lvl w:ilvl="0" w:tplc="A2A4059A">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DA79ED"/>
    <w:multiLevelType w:val="multilevel"/>
    <w:tmpl w:val="5A46B17C"/>
    <w:name w:val="Pièces_marchés2"/>
    <w:lvl w:ilvl="0">
      <w:start w:val="1"/>
      <w:numFmt w:val="decimal"/>
      <w:pStyle w:val="Article1"/>
      <w:lvlText w:val="ARTICLE %1."/>
      <w:lvlJc w:val="left"/>
      <w:pPr>
        <w:ind w:left="0" w:firstLine="0"/>
      </w:pPr>
      <w:rPr>
        <w:rFonts w:hint="default"/>
        <w:b/>
        <w:bCs w:val="0"/>
        <w:i w:val="0"/>
        <w:iCs w:val="0"/>
        <w:caps w:val="0"/>
        <w:smallCaps w:val="0"/>
        <w:strike w:val="0"/>
        <w:dstrike w:val="0"/>
        <w:vanish w:val="0"/>
        <w:color w:val="80BC00" w:themeColor="accent3"/>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sous-article1"/>
      <w:lvlText w:val="%1.%2."/>
      <w:lvlJc w:val="left"/>
      <w:pPr>
        <w:ind w:left="0" w:firstLine="0"/>
      </w:pPr>
      <w:rPr>
        <w:rFonts w:hint="default"/>
      </w:rPr>
    </w:lvl>
    <w:lvl w:ilvl="2">
      <w:start w:val="1"/>
      <w:numFmt w:val="decimal"/>
      <w:pStyle w:val="sous-article2"/>
      <w:lvlText w:val="%1.%2.%3."/>
      <w:lvlJc w:val="left"/>
      <w:pPr>
        <w:ind w:left="0" w:firstLine="0"/>
      </w:pPr>
      <w:rPr>
        <w:rFonts w:hint="default"/>
        <w:b w:val="0"/>
        <w:u w:color="80BC00" w:themeColor="accent3"/>
      </w:rPr>
    </w:lvl>
    <w:lvl w:ilvl="3">
      <w:start w:val="1"/>
      <w:numFmt w:val="decimal"/>
      <w:pStyle w:val="sous-article3"/>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15:restartNumberingAfterBreak="0">
    <w:nsid w:val="67CA0204"/>
    <w:multiLevelType w:val="multilevel"/>
    <w:tmpl w:val="080E58B4"/>
    <w:lvl w:ilvl="0">
      <w:start w:val="1"/>
      <w:numFmt w:val="bullet"/>
      <w:lvlText w:val=""/>
      <w:lvlJc w:val="left"/>
      <w:pPr>
        <w:ind w:left="737" w:hanging="737"/>
      </w:pPr>
      <w:rPr>
        <w:rFonts w:ascii="Wingdings" w:hAnsi="Wingdings" w:hint="default"/>
        <w:b/>
        <w:i w:val="0"/>
        <w:color w:val="5F8C00" w:themeColor="accent3" w:themeShade="BF"/>
      </w:rPr>
    </w:lvl>
    <w:lvl w:ilvl="1">
      <w:start w:val="1"/>
      <w:numFmt w:val="bullet"/>
      <w:lvlText w:val=""/>
      <w:lvlJc w:val="left"/>
      <w:pPr>
        <w:ind w:left="1134" w:hanging="283"/>
      </w:pPr>
      <w:rPr>
        <w:rFonts w:ascii="Symbol" w:hAnsi="Symbol" w:hint="default"/>
        <w:b/>
        <w:color w:val="5F8C00" w:themeColor="accent3" w:themeShade="BF"/>
      </w:rPr>
    </w:lvl>
    <w:lvl w:ilvl="2">
      <w:start w:val="1"/>
      <w:numFmt w:val="bullet"/>
      <w:suff w:val="space"/>
      <w:lvlText w:val=""/>
      <w:lvlJc w:val="left"/>
      <w:pPr>
        <w:ind w:left="1844" w:hanging="284"/>
      </w:pPr>
      <w:rPr>
        <w:rFonts w:ascii="Symbol" w:hAnsi="Symbol" w:hint="default"/>
        <w:color w:val="5F8C00" w:themeColor="accent3" w:themeShade="BF"/>
      </w:rPr>
    </w:lvl>
    <w:lvl w:ilvl="3">
      <w:start w:val="1"/>
      <w:numFmt w:val="bullet"/>
      <w:suff w:val="space"/>
      <w:lvlText w:val="-"/>
      <w:lvlJc w:val="left"/>
      <w:pPr>
        <w:ind w:left="1418" w:hanging="283"/>
      </w:pPr>
      <w:rPr>
        <w:rFonts w:ascii="Arial" w:hAnsi="Arial" w:hint="default"/>
        <w:color w:val="5F8C00" w:themeColor="accent3" w:themeShade="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79B475A"/>
    <w:multiLevelType w:val="hybridMultilevel"/>
    <w:tmpl w:val="235CCE9E"/>
    <w:lvl w:ilvl="0" w:tplc="71B81D86">
      <w:start w:val="1"/>
      <w:numFmt w:val="bullet"/>
      <w:lvlText w:val=""/>
      <w:lvlJc w:val="left"/>
      <w:pPr>
        <w:ind w:left="720" w:hanging="360"/>
      </w:pPr>
      <w:rPr>
        <w:rFonts w:ascii="Symbol" w:hAnsi="Symbol" w:hint="default"/>
        <w:color w:val="80BC00"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18605C"/>
    <w:multiLevelType w:val="multilevel"/>
    <w:tmpl w:val="52922622"/>
    <w:lvl w:ilvl="0">
      <w:start w:val="1"/>
      <w:numFmt w:val="decimal"/>
      <w:lvlText w:val="%1."/>
      <w:lvlJc w:val="left"/>
      <w:pPr>
        <w:ind w:left="720" w:hanging="360"/>
      </w:pPr>
    </w:lvl>
    <w:lvl w:ilvl="1">
      <w:start w:val="2"/>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DC547CB"/>
    <w:multiLevelType w:val="multilevel"/>
    <w:tmpl w:val="163081C2"/>
    <w:lvl w:ilvl="0">
      <w:start w:val="1"/>
      <w:numFmt w:val="bullet"/>
      <w:lvlText w:val=""/>
      <w:lvlJc w:val="left"/>
      <w:pPr>
        <w:ind w:left="737" w:hanging="737"/>
      </w:pPr>
      <w:rPr>
        <w:rFonts w:ascii="Symbol" w:hAnsi="Symbol" w:hint="default"/>
        <w:b/>
        <w:i w:val="0"/>
        <w:color w:val="5F8C00" w:themeColor="accent3" w:themeShade="BF"/>
      </w:rPr>
    </w:lvl>
    <w:lvl w:ilvl="1">
      <w:numFmt w:val="bullet"/>
      <w:lvlText w:val="-"/>
      <w:lvlJc w:val="left"/>
      <w:pPr>
        <w:ind w:left="1418" w:hanging="283"/>
      </w:pPr>
      <w:rPr>
        <w:rFonts w:ascii="Arial" w:eastAsia="Arial" w:hAnsi="Arial" w:cs="Arial" w:hint="default"/>
        <w:b/>
        <w:color w:val="5F8C00" w:themeColor="accent3" w:themeShade="BF"/>
      </w:rPr>
    </w:lvl>
    <w:lvl w:ilvl="2">
      <w:start w:val="1"/>
      <w:numFmt w:val="bullet"/>
      <w:suff w:val="space"/>
      <w:lvlText w:val=""/>
      <w:lvlJc w:val="left"/>
      <w:pPr>
        <w:ind w:left="1844" w:hanging="284"/>
      </w:pPr>
      <w:rPr>
        <w:rFonts w:ascii="Symbol" w:hAnsi="Symbol" w:hint="default"/>
        <w:color w:val="5F8C00" w:themeColor="accent3" w:themeShade="BF"/>
      </w:rPr>
    </w:lvl>
    <w:lvl w:ilvl="3">
      <w:start w:val="1"/>
      <w:numFmt w:val="bullet"/>
      <w:suff w:val="space"/>
      <w:lvlText w:val="-"/>
      <w:lvlJc w:val="left"/>
      <w:pPr>
        <w:ind w:left="1418" w:hanging="283"/>
      </w:pPr>
      <w:rPr>
        <w:rFonts w:ascii="Arial" w:hAnsi="Arial" w:hint="default"/>
        <w:color w:val="5F8C00" w:themeColor="accent3" w:themeShade="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8"/>
  </w:num>
  <w:num w:numId="4">
    <w:abstractNumId w:val="16"/>
  </w:num>
  <w:num w:numId="5">
    <w:abstractNumId w:val="4"/>
  </w:num>
  <w:num w:numId="6">
    <w:abstractNumId w:val="1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4"/>
  </w:num>
  <w:num w:numId="15">
    <w:abstractNumId w:val="28"/>
  </w:num>
  <w:num w:numId="16">
    <w:abstractNumId w:val="17"/>
  </w:num>
  <w:num w:numId="17">
    <w:abstractNumId w:val="1"/>
  </w:num>
  <w:num w:numId="18">
    <w:abstractNumId w:val="3"/>
  </w:num>
  <w:num w:numId="19">
    <w:abstractNumId w:val="13"/>
  </w:num>
  <w:num w:numId="20">
    <w:abstractNumId w:val="25"/>
  </w:num>
  <w:num w:numId="21">
    <w:abstractNumId w:val="31"/>
  </w:num>
  <w:num w:numId="22">
    <w:abstractNumId w:val="2"/>
  </w:num>
  <w:num w:numId="23">
    <w:abstractNumId w:val="11"/>
  </w:num>
  <w:num w:numId="24">
    <w:abstractNumId w:val="22"/>
  </w:num>
  <w:num w:numId="25">
    <w:abstractNumId w:val="9"/>
  </w:num>
  <w:num w:numId="26">
    <w:abstractNumId w:val="10"/>
  </w:num>
  <w:num w:numId="27">
    <w:abstractNumId w:val="14"/>
  </w:num>
  <w:num w:numId="28">
    <w:abstractNumId w:val="23"/>
  </w:num>
  <w:num w:numId="29">
    <w:abstractNumId w:val="15"/>
  </w:num>
  <w:num w:numId="30">
    <w:abstractNumId w:val="29"/>
  </w:num>
  <w:num w:numId="31">
    <w:abstractNumId w:val="5"/>
  </w:num>
  <w:num w:numId="32">
    <w:abstractNumId w:val="22"/>
  </w:num>
  <w:num w:numId="33">
    <w:abstractNumId w:val="0"/>
  </w:num>
  <w:num w:numId="34">
    <w:abstractNumId w:val="22"/>
  </w:num>
  <w:num w:numId="35">
    <w:abstractNumId w:val="22"/>
  </w:num>
  <w:num w:numId="36">
    <w:abstractNumId w:val="26"/>
  </w:num>
  <w:num w:numId="37">
    <w:abstractNumId w:val="22"/>
  </w:num>
  <w:num w:numId="38">
    <w:abstractNumId w:val="22"/>
  </w:num>
  <w:num w:numId="39">
    <w:abstractNumId w:val="22"/>
  </w:num>
  <w:num w:numId="40">
    <w:abstractNumId w:val="22"/>
  </w:num>
  <w:num w:numId="4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F2"/>
    <w:rsid w:val="0001382A"/>
    <w:rsid w:val="000168E4"/>
    <w:rsid w:val="0002385D"/>
    <w:rsid w:val="000258AD"/>
    <w:rsid w:val="00025C76"/>
    <w:rsid w:val="0002682A"/>
    <w:rsid w:val="000272ED"/>
    <w:rsid w:val="00027E6A"/>
    <w:rsid w:val="000408A8"/>
    <w:rsid w:val="00043059"/>
    <w:rsid w:val="0004504E"/>
    <w:rsid w:val="000470BE"/>
    <w:rsid w:val="0005456C"/>
    <w:rsid w:val="00055481"/>
    <w:rsid w:val="00074E0A"/>
    <w:rsid w:val="00080CFC"/>
    <w:rsid w:val="00092499"/>
    <w:rsid w:val="00097560"/>
    <w:rsid w:val="000A0680"/>
    <w:rsid w:val="000B4677"/>
    <w:rsid w:val="000C13F4"/>
    <w:rsid w:val="000C1F3B"/>
    <w:rsid w:val="000E0143"/>
    <w:rsid w:val="000E24BA"/>
    <w:rsid w:val="000F406D"/>
    <w:rsid w:val="00112148"/>
    <w:rsid w:val="001154D5"/>
    <w:rsid w:val="00116516"/>
    <w:rsid w:val="001216C3"/>
    <w:rsid w:val="00126EAD"/>
    <w:rsid w:val="0013043F"/>
    <w:rsid w:val="0013192B"/>
    <w:rsid w:val="0013706A"/>
    <w:rsid w:val="00143AA4"/>
    <w:rsid w:val="00144EDC"/>
    <w:rsid w:val="001460C9"/>
    <w:rsid w:val="00153EC5"/>
    <w:rsid w:val="00165D3A"/>
    <w:rsid w:val="0016643B"/>
    <w:rsid w:val="00180706"/>
    <w:rsid w:val="001932E5"/>
    <w:rsid w:val="001A301B"/>
    <w:rsid w:val="001A3F57"/>
    <w:rsid w:val="001B3E8F"/>
    <w:rsid w:val="001B7AB0"/>
    <w:rsid w:val="001C09F2"/>
    <w:rsid w:val="001C117F"/>
    <w:rsid w:val="001D1D3F"/>
    <w:rsid w:val="001E507B"/>
    <w:rsid w:val="001E6E0A"/>
    <w:rsid w:val="001F03B5"/>
    <w:rsid w:val="001F1C95"/>
    <w:rsid w:val="0020040E"/>
    <w:rsid w:val="00202440"/>
    <w:rsid w:val="00203279"/>
    <w:rsid w:val="00206E56"/>
    <w:rsid w:val="0021012C"/>
    <w:rsid w:val="00212D1D"/>
    <w:rsid w:val="0023098E"/>
    <w:rsid w:val="002442A8"/>
    <w:rsid w:val="00244D69"/>
    <w:rsid w:val="00250149"/>
    <w:rsid w:val="00252553"/>
    <w:rsid w:val="00267E08"/>
    <w:rsid w:val="002735FC"/>
    <w:rsid w:val="002850DC"/>
    <w:rsid w:val="00285593"/>
    <w:rsid w:val="00287C34"/>
    <w:rsid w:val="00293E0C"/>
    <w:rsid w:val="00297347"/>
    <w:rsid w:val="002A0BFC"/>
    <w:rsid w:val="002A1651"/>
    <w:rsid w:val="002B6C00"/>
    <w:rsid w:val="002B741F"/>
    <w:rsid w:val="002C1521"/>
    <w:rsid w:val="002C20B7"/>
    <w:rsid w:val="002D4B8D"/>
    <w:rsid w:val="002D77AD"/>
    <w:rsid w:val="002E4603"/>
    <w:rsid w:val="002E63EA"/>
    <w:rsid w:val="00314F97"/>
    <w:rsid w:val="003244D6"/>
    <w:rsid w:val="003417DE"/>
    <w:rsid w:val="00353442"/>
    <w:rsid w:val="00353B69"/>
    <w:rsid w:val="00354B89"/>
    <w:rsid w:val="0036285C"/>
    <w:rsid w:val="0037174F"/>
    <w:rsid w:val="00372E23"/>
    <w:rsid w:val="0037507D"/>
    <w:rsid w:val="003770B7"/>
    <w:rsid w:val="00380AE6"/>
    <w:rsid w:val="0038595A"/>
    <w:rsid w:val="00385B9F"/>
    <w:rsid w:val="003872D0"/>
    <w:rsid w:val="00387E60"/>
    <w:rsid w:val="003938B1"/>
    <w:rsid w:val="00396B4A"/>
    <w:rsid w:val="003B38E0"/>
    <w:rsid w:val="003B3BA0"/>
    <w:rsid w:val="003B54F2"/>
    <w:rsid w:val="003C2467"/>
    <w:rsid w:val="003D45DD"/>
    <w:rsid w:val="003F451C"/>
    <w:rsid w:val="0040053D"/>
    <w:rsid w:val="004022B4"/>
    <w:rsid w:val="00404F1D"/>
    <w:rsid w:val="00410269"/>
    <w:rsid w:val="00411B2B"/>
    <w:rsid w:val="0042432E"/>
    <w:rsid w:val="00424F52"/>
    <w:rsid w:val="00426DD2"/>
    <w:rsid w:val="0044219E"/>
    <w:rsid w:val="004466C1"/>
    <w:rsid w:val="0045216F"/>
    <w:rsid w:val="0045476C"/>
    <w:rsid w:val="004616D3"/>
    <w:rsid w:val="0047201C"/>
    <w:rsid w:val="00473E96"/>
    <w:rsid w:val="00475969"/>
    <w:rsid w:val="00475B4B"/>
    <w:rsid w:val="004A3EB1"/>
    <w:rsid w:val="004B6423"/>
    <w:rsid w:val="004F0B13"/>
    <w:rsid w:val="004F18B5"/>
    <w:rsid w:val="005030BB"/>
    <w:rsid w:val="00527B82"/>
    <w:rsid w:val="00544345"/>
    <w:rsid w:val="00546FF1"/>
    <w:rsid w:val="005507FD"/>
    <w:rsid w:val="00550ACF"/>
    <w:rsid w:val="00550B09"/>
    <w:rsid w:val="00553033"/>
    <w:rsid w:val="00564D37"/>
    <w:rsid w:val="00565565"/>
    <w:rsid w:val="00571171"/>
    <w:rsid w:val="005857AD"/>
    <w:rsid w:val="00585BE7"/>
    <w:rsid w:val="005A12EA"/>
    <w:rsid w:val="005A2A1A"/>
    <w:rsid w:val="005A6D6B"/>
    <w:rsid w:val="005B5A47"/>
    <w:rsid w:val="005C775F"/>
    <w:rsid w:val="005D3137"/>
    <w:rsid w:val="005D664C"/>
    <w:rsid w:val="005E6694"/>
    <w:rsid w:val="005F39EE"/>
    <w:rsid w:val="00601ED7"/>
    <w:rsid w:val="0061682B"/>
    <w:rsid w:val="0061747D"/>
    <w:rsid w:val="00620A68"/>
    <w:rsid w:val="00624BEA"/>
    <w:rsid w:val="00625B3C"/>
    <w:rsid w:val="00632167"/>
    <w:rsid w:val="006401EC"/>
    <w:rsid w:val="00640828"/>
    <w:rsid w:val="00642DBA"/>
    <w:rsid w:val="00643720"/>
    <w:rsid w:val="00646166"/>
    <w:rsid w:val="00655A10"/>
    <w:rsid w:val="00671BE8"/>
    <w:rsid w:val="00674D88"/>
    <w:rsid w:val="00677EA5"/>
    <w:rsid w:val="00692ECD"/>
    <w:rsid w:val="00696A33"/>
    <w:rsid w:val="006A477A"/>
    <w:rsid w:val="006B5C7E"/>
    <w:rsid w:val="006B686B"/>
    <w:rsid w:val="006D1C74"/>
    <w:rsid w:val="006D2575"/>
    <w:rsid w:val="006D263E"/>
    <w:rsid w:val="006E27BF"/>
    <w:rsid w:val="006F7FF2"/>
    <w:rsid w:val="00703F62"/>
    <w:rsid w:val="007046E9"/>
    <w:rsid w:val="00710A03"/>
    <w:rsid w:val="0072409E"/>
    <w:rsid w:val="007251E0"/>
    <w:rsid w:val="007442D9"/>
    <w:rsid w:val="00753A01"/>
    <w:rsid w:val="007540A6"/>
    <w:rsid w:val="00755234"/>
    <w:rsid w:val="00762ADF"/>
    <w:rsid w:val="00764192"/>
    <w:rsid w:val="00766892"/>
    <w:rsid w:val="007669DC"/>
    <w:rsid w:val="00771AD6"/>
    <w:rsid w:val="00777297"/>
    <w:rsid w:val="0078532D"/>
    <w:rsid w:val="007910B3"/>
    <w:rsid w:val="00793A66"/>
    <w:rsid w:val="007954DE"/>
    <w:rsid w:val="007B16E0"/>
    <w:rsid w:val="007B5183"/>
    <w:rsid w:val="007B56E7"/>
    <w:rsid w:val="007C095D"/>
    <w:rsid w:val="007C25B3"/>
    <w:rsid w:val="007C2F5A"/>
    <w:rsid w:val="007C3D8C"/>
    <w:rsid w:val="007D5DEF"/>
    <w:rsid w:val="007E317D"/>
    <w:rsid w:val="007F55BA"/>
    <w:rsid w:val="00801794"/>
    <w:rsid w:val="0080313B"/>
    <w:rsid w:val="0080327B"/>
    <w:rsid w:val="00805D7D"/>
    <w:rsid w:val="00805EB0"/>
    <w:rsid w:val="008124BD"/>
    <w:rsid w:val="0081517A"/>
    <w:rsid w:val="00815B14"/>
    <w:rsid w:val="0082178B"/>
    <w:rsid w:val="00833781"/>
    <w:rsid w:val="00835C4C"/>
    <w:rsid w:val="00840EDD"/>
    <w:rsid w:val="00841F31"/>
    <w:rsid w:val="00844956"/>
    <w:rsid w:val="00844AA5"/>
    <w:rsid w:val="0085513D"/>
    <w:rsid w:val="008657A8"/>
    <w:rsid w:val="00877117"/>
    <w:rsid w:val="00880F6C"/>
    <w:rsid w:val="00892781"/>
    <w:rsid w:val="008A2BDF"/>
    <w:rsid w:val="008A5755"/>
    <w:rsid w:val="008B1C4D"/>
    <w:rsid w:val="008B26D6"/>
    <w:rsid w:val="008B2DE9"/>
    <w:rsid w:val="008B38A6"/>
    <w:rsid w:val="008C684D"/>
    <w:rsid w:val="008C6F77"/>
    <w:rsid w:val="008D1364"/>
    <w:rsid w:val="008D3AA2"/>
    <w:rsid w:val="008D3EF7"/>
    <w:rsid w:val="008D7444"/>
    <w:rsid w:val="008F04A2"/>
    <w:rsid w:val="008F1785"/>
    <w:rsid w:val="008F2A13"/>
    <w:rsid w:val="008F2AC8"/>
    <w:rsid w:val="008F4AE0"/>
    <w:rsid w:val="00904B51"/>
    <w:rsid w:val="009061F4"/>
    <w:rsid w:val="00910EC6"/>
    <w:rsid w:val="00911E5B"/>
    <w:rsid w:val="00914AB6"/>
    <w:rsid w:val="00915DA9"/>
    <w:rsid w:val="0092312C"/>
    <w:rsid w:val="009238F8"/>
    <w:rsid w:val="00932597"/>
    <w:rsid w:val="00933E5B"/>
    <w:rsid w:val="0093729B"/>
    <w:rsid w:val="009436E9"/>
    <w:rsid w:val="00945963"/>
    <w:rsid w:val="00950727"/>
    <w:rsid w:val="009512BA"/>
    <w:rsid w:val="00955647"/>
    <w:rsid w:val="00965929"/>
    <w:rsid w:val="00973F19"/>
    <w:rsid w:val="00976B05"/>
    <w:rsid w:val="0097779C"/>
    <w:rsid w:val="00980494"/>
    <w:rsid w:val="009812FD"/>
    <w:rsid w:val="00985F70"/>
    <w:rsid w:val="009907B2"/>
    <w:rsid w:val="00993F57"/>
    <w:rsid w:val="009968C5"/>
    <w:rsid w:val="009976DA"/>
    <w:rsid w:val="009A23AB"/>
    <w:rsid w:val="009B4D7B"/>
    <w:rsid w:val="009B5281"/>
    <w:rsid w:val="009C0CC3"/>
    <w:rsid w:val="009D180E"/>
    <w:rsid w:val="009D3949"/>
    <w:rsid w:val="009D4AC0"/>
    <w:rsid w:val="009E118E"/>
    <w:rsid w:val="009E5C6C"/>
    <w:rsid w:val="009F4DDB"/>
    <w:rsid w:val="00A05E75"/>
    <w:rsid w:val="00A120FD"/>
    <w:rsid w:val="00A15717"/>
    <w:rsid w:val="00A1751C"/>
    <w:rsid w:val="00A24624"/>
    <w:rsid w:val="00A27C26"/>
    <w:rsid w:val="00A31EFE"/>
    <w:rsid w:val="00A36C43"/>
    <w:rsid w:val="00A57575"/>
    <w:rsid w:val="00A64886"/>
    <w:rsid w:val="00A717DD"/>
    <w:rsid w:val="00A84B1D"/>
    <w:rsid w:val="00AA70F9"/>
    <w:rsid w:val="00AC1B13"/>
    <w:rsid w:val="00AC4E50"/>
    <w:rsid w:val="00AE0728"/>
    <w:rsid w:val="00AF2B41"/>
    <w:rsid w:val="00AF5938"/>
    <w:rsid w:val="00B040C7"/>
    <w:rsid w:val="00B0527A"/>
    <w:rsid w:val="00B11D3F"/>
    <w:rsid w:val="00B127E2"/>
    <w:rsid w:val="00B202D3"/>
    <w:rsid w:val="00B262E6"/>
    <w:rsid w:val="00B32F4C"/>
    <w:rsid w:val="00B37619"/>
    <w:rsid w:val="00B40170"/>
    <w:rsid w:val="00B46239"/>
    <w:rsid w:val="00B5295D"/>
    <w:rsid w:val="00B64F18"/>
    <w:rsid w:val="00B81DD5"/>
    <w:rsid w:val="00B91DF9"/>
    <w:rsid w:val="00B92FB1"/>
    <w:rsid w:val="00B93C94"/>
    <w:rsid w:val="00B95280"/>
    <w:rsid w:val="00B97955"/>
    <w:rsid w:val="00BA200C"/>
    <w:rsid w:val="00BB5DA1"/>
    <w:rsid w:val="00BC166F"/>
    <w:rsid w:val="00BC1944"/>
    <w:rsid w:val="00BD1A91"/>
    <w:rsid w:val="00BE5ADC"/>
    <w:rsid w:val="00BE639E"/>
    <w:rsid w:val="00BF2CF9"/>
    <w:rsid w:val="00BF2DF9"/>
    <w:rsid w:val="00C0107A"/>
    <w:rsid w:val="00C01B18"/>
    <w:rsid w:val="00C01D43"/>
    <w:rsid w:val="00C03761"/>
    <w:rsid w:val="00C05242"/>
    <w:rsid w:val="00C061CF"/>
    <w:rsid w:val="00C06A0E"/>
    <w:rsid w:val="00C10E75"/>
    <w:rsid w:val="00C1796D"/>
    <w:rsid w:val="00C21B90"/>
    <w:rsid w:val="00C24DF8"/>
    <w:rsid w:val="00C31F14"/>
    <w:rsid w:val="00C36FBA"/>
    <w:rsid w:val="00C41431"/>
    <w:rsid w:val="00C51D0B"/>
    <w:rsid w:val="00C5692A"/>
    <w:rsid w:val="00C66489"/>
    <w:rsid w:val="00C71E8A"/>
    <w:rsid w:val="00C81A16"/>
    <w:rsid w:val="00C81C7B"/>
    <w:rsid w:val="00CA0B78"/>
    <w:rsid w:val="00CA47DB"/>
    <w:rsid w:val="00CB264D"/>
    <w:rsid w:val="00CB4576"/>
    <w:rsid w:val="00CB5D69"/>
    <w:rsid w:val="00CC2F07"/>
    <w:rsid w:val="00CC3477"/>
    <w:rsid w:val="00CC47FF"/>
    <w:rsid w:val="00CD59AA"/>
    <w:rsid w:val="00CE559F"/>
    <w:rsid w:val="00CE6BA6"/>
    <w:rsid w:val="00CF0E28"/>
    <w:rsid w:val="00CF3076"/>
    <w:rsid w:val="00D0137C"/>
    <w:rsid w:val="00D0291B"/>
    <w:rsid w:val="00D127DE"/>
    <w:rsid w:val="00D12A52"/>
    <w:rsid w:val="00D21451"/>
    <w:rsid w:val="00D226E8"/>
    <w:rsid w:val="00D25F5F"/>
    <w:rsid w:val="00D265D9"/>
    <w:rsid w:val="00D275D9"/>
    <w:rsid w:val="00D30BF9"/>
    <w:rsid w:val="00D30D5A"/>
    <w:rsid w:val="00D34A61"/>
    <w:rsid w:val="00D41570"/>
    <w:rsid w:val="00D54C2A"/>
    <w:rsid w:val="00D55AC8"/>
    <w:rsid w:val="00D73A00"/>
    <w:rsid w:val="00D833CA"/>
    <w:rsid w:val="00D85A90"/>
    <w:rsid w:val="00DA04AD"/>
    <w:rsid w:val="00DA27E1"/>
    <w:rsid w:val="00DD0EA4"/>
    <w:rsid w:val="00DD1C2E"/>
    <w:rsid w:val="00DD2186"/>
    <w:rsid w:val="00DD5D3A"/>
    <w:rsid w:val="00DD6096"/>
    <w:rsid w:val="00DE0CA1"/>
    <w:rsid w:val="00DE58FF"/>
    <w:rsid w:val="00DE6E2E"/>
    <w:rsid w:val="00DE72B9"/>
    <w:rsid w:val="00DF0ADD"/>
    <w:rsid w:val="00DF31CC"/>
    <w:rsid w:val="00E0496F"/>
    <w:rsid w:val="00E05A3F"/>
    <w:rsid w:val="00E05C4B"/>
    <w:rsid w:val="00E11778"/>
    <w:rsid w:val="00E12F6C"/>
    <w:rsid w:val="00E16FC9"/>
    <w:rsid w:val="00E2687A"/>
    <w:rsid w:val="00E2756A"/>
    <w:rsid w:val="00E369E6"/>
    <w:rsid w:val="00E45106"/>
    <w:rsid w:val="00E631ED"/>
    <w:rsid w:val="00E65108"/>
    <w:rsid w:val="00E66AF5"/>
    <w:rsid w:val="00E70048"/>
    <w:rsid w:val="00E77620"/>
    <w:rsid w:val="00E82900"/>
    <w:rsid w:val="00E838EB"/>
    <w:rsid w:val="00E9677A"/>
    <w:rsid w:val="00EA4737"/>
    <w:rsid w:val="00EB0143"/>
    <w:rsid w:val="00EB0DCE"/>
    <w:rsid w:val="00EB361C"/>
    <w:rsid w:val="00EC25B9"/>
    <w:rsid w:val="00ED04F5"/>
    <w:rsid w:val="00EE3DAF"/>
    <w:rsid w:val="00EE6E42"/>
    <w:rsid w:val="00EF1E54"/>
    <w:rsid w:val="00EF34A7"/>
    <w:rsid w:val="00EF3830"/>
    <w:rsid w:val="00F002BC"/>
    <w:rsid w:val="00F034A4"/>
    <w:rsid w:val="00F128BF"/>
    <w:rsid w:val="00F12E3B"/>
    <w:rsid w:val="00F216A8"/>
    <w:rsid w:val="00F222CB"/>
    <w:rsid w:val="00F23BED"/>
    <w:rsid w:val="00F2528E"/>
    <w:rsid w:val="00F3725F"/>
    <w:rsid w:val="00F50DC8"/>
    <w:rsid w:val="00F54F11"/>
    <w:rsid w:val="00F60AE8"/>
    <w:rsid w:val="00F6296E"/>
    <w:rsid w:val="00F64234"/>
    <w:rsid w:val="00F65906"/>
    <w:rsid w:val="00F65C55"/>
    <w:rsid w:val="00F9129C"/>
    <w:rsid w:val="00FA4F43"/>
    <w:rsid w:val="00FA53AD"/>
    <w:rsid w:val="00FA75DA"/>
    <w:rsid w:val="00FA76CD"/>
    <w:rsid w:val="00FB6AE1"/>
    <w:rsid w:val="00FC1222"/>
    <w:rsid w:val="00FC6CC8"/>
    <w:rsid w:val="00FC7C44"/>
    <w:rsid w:val="00FD104A"/>
    <w:rsid w:val="00FD4B45"/>
    <w:rsid w:val="00FD6CFC"/>
    <w:rsid w:val="00FE4978"/>
    <w:rsid w:val="00FE4984"/>
    <w:rsid w:val="00FE6A92"/>
    <w:rsid w:val="00FF002A"/>
    <w:rsid w:val="00FF7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EB8E127"/>
  <w15:chartTrackingRefBased/>
  <w15:docId w15:val="{15F99A13-C43A-44C5-A0CB-9BEDAD5B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semiHidden="1"/>
    <w:lsdException w:name="List Number" w:semiHidden="1"/>
    <w:lsdException w:name="List 2" w:semiHidden="1" w:qFormat="1"/>
    <w:lsdException w:name="List 3" w:semiHidden="1" w:qFormat="1"/>
    <w:lsdException w:name="List 4" w:semiHidden="1" w:qFormat="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EB"/>
    <w:pPr>
      <w:jc w:val="both"/>
    </w:pPr>
  </w:style>
  <w:style w:type="paragraph" w:styleId="Titre1">
    <w:name w:val="heading 1"/>
    <w:aliases w:val="Titre I,Article1,Article12,E1,H1"/>
    <w:basedOn w:val="Normal"/>
    <w:next w:val="Normal"/>
    <w:link w:val="Titre1Car"/>
    <w:uiPriority w:val="9"/>
    <w:qFormat/>
    <w:rsid w:val="00EF1E54"/>
    <w:pPr>
      <w:keepNext/>
      <w:keepLines/>
      <w:spacing w:before="240"/>
      <w:outlineLvl w:val="0"/>
    </w:pPr>
    <w:rPr>
      <w:rFonts w:asciiTheme="majorHAnsi" w:eastAsiaTheme="majorEastAsia" w:hAnsiTheme="majorHAnsi" w:cstheme="majorBidi"/>
      <w:color w:val="10A6FF" w:themeColor="accent1" w:themeShade="BF"/>
      <w:sz w:val="32"/>
      <w:szCs w:val="32"/>
    </w:rPr>
  </w:style>
  <w:style w:type="paragraph" w:styleId="Titre2">
    <w:name w:val="heading 2"/>
    <w:aliases w:val="Titre 1.,Titre 1b,T2,tt,E2"/>
    <w:next w:val="Normal"/>
    <w:link w:val="Titre2Car"/>
    <w:uiPriority w:val="9"/>
    <w:qFormat/>
    <w:rsid w:val="00B040C7"/>
    <w:pPr>
      <w:keepNext/>
      <w:keepLines/>
      <w:spacing w:before="360" w:after="240" w:line="276" w:lineRule="auto"/>
      <w:outlineLvl w:val="1"/>
    </w:pPr>
    <w:rPr>
      <w:rFonts w:asciiTheme="majorHAnsi" w:eastAsia="MS Gothic" w:hAnsiTheme="majorHAnsi" w:cs="Times New Roman"/>
      <w:b/>
      <w:bCs/>
      <w:smallCaps/>
      <w:color w:val="80BC00" w:themeColor="accent3"/>
      <w:sz w:val="28"/>
      <w:szCs w:val="26"/>
      <w:lang w:val="x-none" w:eastAsia="x-none"/>
    </w:rPr>
  </w:style>
  <w:style w:type="paragraph" w:styleId="Titre3">
    <w:name w:val="heading 3"/>
    <w:aliases w:val="Titre 3 re,Heading 31,Heading 32,Heading 33,Heading 311,Heading 321,GSA3,H3,h3,heading 3,3rd level,Titre 3 times,t3,chapitre 1.1.1,Titre 31,t3.T3,l3,CT,3,Titre 3 SQ,T3,Section,Section1,Section2,Section3,Section4,Section5,Section6,Section7,ttt"/>
    <w:next w:val="Normal"/>
    <w:link w:val="Titre3Car"/>
    <w:uiPriority w:val="9"/>
    <w:qFormat/>
    <w:rsid w:val="00B040C7"/>
    <w:pPr>
      <w:keepNext/>
      <w:keepLines/>
      <w:spacing w:before="240" w:after="240"/>
      <w:outlineLvl w:val="2"/>
    </w:pPr>
    <w:rPr>
      <w:rFonts w:asciiTheme="majorHAnsi" w:eastAsia="Times New Roman" w:hAnsiTheme="majorHAnsi" w:cs="Times New Roman"/>
      <w:bCs/>
      <w:smallCaps/>
      <w:color w:val="00549A"/>
      <w:sz w:val="26"/>
      <w:szCs w:val="26"/>
      <w:lang w:val="x-none"/>
    </w:rPr>
  </w:style>
  <w:style w:type="paragraph" w:styleId="Titre4">
    <w:name w:val="heading 4"/>
    <w:aliases w:val="Titre 4 re,E4"/>
    <w:next w:val="Normal"/>
    <w:link w:val="Titre4Car"/>
    <w:uiPriority w:val="9"/>
    <w:qFormat/>
    <w:rsid w:val="00B040C7"/>
    <w:pPr>
      <w:keepNext/>
      <w:keepLines/>
      <w:spacing w:before="360" w:after="240" w:line="276" w:lineRule="auto"/>
      <w:outlineLvl w:val="3"/>
    </w:pPr>
    <w:rPr>
      <w:rFonts w:asciiTheme="majorHAnsi" w:eastAsia="Times New Roman" w:hAnsiTheme="majorHAnsi" w:cs="Times New Roman"/>
      <w:bCs/>
      <w:i/>
      <w:color w:val="00549A"/>
      <w:sz w:val="24"/>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B202D3"/>
    <w:pPr>
      <w:jc w:val="left"/>
    </w:pPr>
    <w:rPr>
      <w:sz w:val="18"/>
    </w:rPr>
  </w:style>
  <w:style w:type="character" w:customStyle="1" w:styleId="En-tteCar">
    <w:name w:val="En-tête Car"/>
    <w:basedOn w:val="Policepardfaut"/>
    <w:link w:val="En-tte"/>
    <w:uiPriority w:val="99"/>
    <w:semiHidden/>
    <w:rsid w:val="00D30D5A"/>
    <w:rPr>
      <w:sz w:val="18"/>
    </w:rPr>
  </w:style>
  <w:style w:type="paragraph" w:styleId="Pieddepage">
    <w:name w:val="footer"/>
    <w:basedOn w:val="Normal"/>
    <w:link w:val="PieddepageCar"/>
    <w:uiPriority w:val="99"/>
    <w:semiHidden/>
    <w:rsid w:val="00B202D3"/>
    <w:pPr>
      <w:jc w:val="left"/>
    </w:pPr>
    <w:rPr>
      <w:color w:val="9B9B9B" w:themeColor="accent6"/>
      <w:sz w:val="18"/>
    </w:rPr>
  </w:style>
  <w:style w:type="character" w:customStyle="1" w:styleId="PieddepageCar">
    <w:name w:val="Pied de page Car"/>
    <w:basedOn w:val="Policepardfaut"/>
    <w:link w:val="Pieddepage"/>
    <w:uiPriority w:val="99"/>
    <w:semiHidden/>
    <w:rsid w:val="00D30D5A"/>
    <w:rPr>
      <w:color w:val="9B9B9B" w:themeColor="accent6"/>
      <w:sz w:val="18"/>
    </w:rPr>
  </w:style>
  <w:style w:type="character" w:customStyle="1" w:styleId="Titre1Car">
    <w:name w:val="Titre 1 Car"/>
    <w:aliases w:val="Titre I Car,Article1 Car,Article12 Car,E1 Car,H1 Car"/>
    <w:basedOn w:val="Policepardfaut"/>
    <w:link w:val="Titre1"/>
    <w:uiPriority w:val="9"/>
    <w:semiHidden/>
    <w:rsid w:val="00D30D5A"/>
    <w:rPr>
      <w:rFonts w:asciiTheme="majorHAnsi" w:eastAsiaTheme="majorEastAsia" w:hAnsiTheme="majorHAnsi" w:cstheme="majorBidi"/>
      <w:color w:val="10A6FF" w:themeColor="accent1" w:themeShade="BF"/>
      <w:sz w:val="32"/>
      <w:szCs w:val="32"/>
    </w:rPr>
  </w:style>
  <w:style w:type="table" w:styleId="Grilledutableau">
    <w:name w:val="Table Grid"/>
    <w:aliases w:val="Tableau Inexia"/>
    <w:basedOn w:val="TableauNormal"/>
    <w:uiPriority w:val="59"/>
    <w:rsid w:val="00B2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B202D3"/>
    <w:rPr>
      <w:color w:val="000000" w:themeColor="text1"/>
      <w:sz w:val="24"/>
    </w:rPr>
  </w:style>
  <w:style w:type="paragraph" w:customStyle="1" w:styleId="CSNETITRE1">
    <w:name w:val="CSNE_TITRE 1"/>
    <w:basedOn w:val="Normal"/>
    <w:next w:val="CSNETITRE2"/>
    <w:uiPriority w:val="1"/>
    <w:qFormat/>
    <w:rsid w:val="00585BE7"/>
    <w:pPr>
      <w:keepNext/>
      <w:numPr>
        <w:numId w:val="1"/>
      </w:numPr>
      <w:jc w:val="left"/>
      <w:outlineLvl w:val="0"/>
    </w:pPr>
    <w:rPr>
      <w:rFonts w:asciiTheme="majorHAnsi" w:hAnsiTheme="majorHAnsi"/>
      <w:b/>
      <w:caps/>
      <w:color w:val="186AF2" w:themeColor="text2"/>
      <w:sz w:val="32"/>
      <w:szCs w:val="70"/>
    </w:rPr>
  </w:style>
  <w:style w:type="paragraph" w:customStyle="1" w:styleId="CSNETITRE2">
    <w:name w:val="CSNE_TITRE 2"/>
    <w:basedOn w:val="Normal"/>
    <w:next w:val="CSNETitre3"/>
    <w:uiPriority w:val="1"/>
    <w:qFormat/>
    <w:rsid w:val="00F65906"/>
    <w:pPr>
      <w:keepNext/>
      <w:numPr>
        <w:ilvl w:val="1"/>
        <w:numId w:val="1"/>
      </w:numPr>
      <w:spacing w:before="360" w:after="240"/>
      <w:jc w:val="left"/>
      <w:outlineLvl w:val="1"/>
    </w:pPr>
    <w:rPr>
      <w:b/>
      <w:caps/>
      <w:color w:val="80BC00" w:themeColor="accent3"/>
      <w:sz w:val="28"/>
      <w:szCs w:val="46"/>
    </w:rPr>
  </w:style>
  <w:style w:type="paragraph" w:customStyle="1" w:styleId="CSNETitre3">
    <w:name w:val="CSNE_Titre 3"/>
    <w:basedOn w:val="Normal"/>
    <w:next w:val="Normal"/>
    <w:uiPriority w:val="1"/>
    <w:qFormat/>
    <w:rsid w:val="00473E96"/>
    <w:pPr>
      <w:keepNext/>
      <w:numPr>
        <w:ilvl w:val="2"/>
        <w:numId w:val="1"/>
      </w:numPr>
      <w:spacing w:before="240" w:after="120"/>
      <w:jc w:val="left"/>
      <w:outlineLvl w:val="2"/>
    </w:pPr>
    <w:rPr>
      <w:b/>
      <w:color w:val="186AF2" w:themeColor="text2"/>
      <w:sz w:val="36"/>
      <w:szCs w:val="36"/>
    </w:rPr>
  </w:style>
  <w:style w:type="paragraph" w:customStyle="1" w:styleId="CSNEIntroduction">
    <w:name w:val="CSNE_Introduction"/>
    <w:basedOn w:val="Normal"/>
    <w:next w:val="Normal"/>
    <w:uiPriority w:val="3"/>
    <w:qFormat/>
    <w:rsid w:val="00473E96"/>
    <w:rPr>
      <w:color w:val="186AF2" w:themeColor="text2"/>
      <w:sz w:val="26"/>
      <w:szCs w:val="26"/>
    </w:rPr>
  </w:style>
  <w:style w:type="paragraph" w:customStyle="1" w:styleId="CSNEIntertitre">
    <w:name w:val="CSNE_Intertitre"/>
    <w:basedOn w:val="Normal"/>
    <w:next w:val="Normal"/>
    <w:uiPriority w:val="2"/>
    <w:qFormat/>
    <w:rsid w:val="00473E96"/>
    <w:pPr>
      <w:keepNext/>
      <w:spacing w:before="240" w:after="120"/>
    </w:pPr>
    <w:rPr>
      <w:b/>
      <w:sz w:val="28"/>
      <w:szCs w:val="28"/>
    </w:rPr>
  </w:style>
  <w:style w:type="paragraph" w:customStyle="1" w:styleId="CSNETITREDOC">
    <w:name w:val="CSNE_TITRE DOC"/>
    <w:basedOn w:val="Normal"/>
    <w:next w:val="Normal"/>
    <w:uiPriority w:val="6"/>
    <w:qFormat/>
    <w:rsid w:val="00677EA5"/>
    <w:pPr>
      <w:spacing w:line="216" w:lineRule="auto"/>
      <w:jc w:val="left"/>
    </w:pPr>
    <w:rPr>
      <w:rFonts w:asciiTheme="majorHAnsi" w:hAnsiTheme="majorHAnsi"/>
      <w:b/>
      <w:color w:val="186AF2" w:themeColor="text2"/>
      <w:sz w:val="104"/>
      <w:szCs w:val="124"/>
    </w:rPr>
  </w:style>
  <w:style w:type="paragraph" w:customStyle="1" w:styleId="CSNETITREHORSTM">
    <w:name w:val="CSNE_TITRE HORS TM"/>
    <w:basedOn w:val="CSNETITRE1"/>
    <w:next w:val="Normal"/>
    <w:uiPriority w:val="6"/>
    <w:rsid w:val="002E63EA"/>
    <w:pPr>
      <w:numPr>
        <w:numId w:val="0"/>
      </w:numPr>
      <w:spacing w:after="600"/>
      <w:outlineLvl w:val="9"/>
    </w:pPr>
  </w:style>
  <w:style w:type="paragraph" w:styleId="TM1">
    <w:name w:val="toc 1"/>
    <w:basedOn w:val="Normal"/>
    <w:next w:val="Normal"/>
    <w:autoRedefine/>
    <w:uiPriority w:val="39"/>
    <w:rsid w:val="00D833CA"/>
    <w:pPr>
      <w:tabs>
        <w:tab w:val="right" w:leader="dot" w:pos="9344"/>
      </w:tabs>
      <w:spacing w:before="240"/>
      <w:jc w:val="left"/>
    </w:pPr>
    <w:rPr>
      <w:b/>
      <w:color w:val="186AF2" w:themeColor="text2"/>
      <w:sz w:val="24"/>
    </w:rPr>
  </w:style>
  <w:style w:type="paragraph" w:styleId="TM2">
    <w:name w:val="toc 2"/>
    <w:basedOn w:val="Normal"/>
    <w:next w:val="Normal"/>
    <w:autoRedefine/>
    <w:uiPriority w:val="39"/>
    <w:rsid w:val="002E63EA"/>
    <w:pPr>
      <w:tabs>
        <w:tab w:val="right" w:leader="dot" w:pos="9344"/>
      </w:tabs>
      <w:spacing w:before="120"/>
      <w:ind w:left="227"/>
      <w:jc w:val="left"/>
    </w:pPr>
    <w:rPr>
      <w:sz w:val="24"/>
    </w:rPr>
  </w:style>
  <w:style w:type="paragraph" w:styleId="TM3">
    <w:name w:val="toc 3"/>
    <w:basedOn w:val="Normal"/>
    <w:next w:val="Normal"/>
    <w:autoRedefine/>
    <w:uiPriority w:val="39"/>
    <w:rsid w:val="002E63EA"/>
    <w:pPr>
      <w:spacing w:before="60"/>
      <w:ind w:left="454"/>
      <w:jc w:val="left"/>
    </w:pPr>
    <w:rPr>
      <w:color w:val="636362" w:themeColor="accent5"/>
      <w:sz w:val="24"/>
    </w:rPr>
  </w:style>
  <w:style w:type="character" w:styleId="Lienhypertexte">
    <w:name w:val="Hyperlink"/>
    <w:basedOn w:val="Policepardfaut"/>
    <w:uiPriority w:val="99"/>
    <w:unhideWhenUsed/>
    <w:rsid w:val="00D30BF9"/>
    <w:rPr>
      <w:color w:val="186AF2" w:themeColor="hyperlink"/>
      <w:u w:val="none"/>
    </w:rPr>
  </w:style>
  <w:style w:type="paragraph" w:customStyle="1" w:styleId="CSNETitredencadr">
    <w:name w:val="CSNE_Titre d'encadré"/>
    <w:basedOn w:val="Normal"/>
    <w:next w:val="Normal"/>
    <w:uiPriority w:val="6"/>
    <w:rsid w:val="00E45106"/>
    <w:pPr>
      <w:keepNext/>
      <w:spacing w:after="80"/>
    </w:pPr>
    <w:rPr>
      <w:b/>
      <w:color w:val="186AF2" w:themeColor="text2"/>
      <w:sz w:val="24"/>
      <w:szCs w:val="24"/>
    </w:rPr>
  </w:style>
  <w:style w:type="paragraph" w:customStyle="1" w:styleId="CSNEPuce1">
    <w:name w:val="CSNE_Puce 1"/>
    <w:basedOn w:val="Normal"/>
    <w:uiPriority w:val="3"/>
    <w:rsid w:val="00DD0EA4"/>
    <w:pPr>
      <w:numPr>
        <w:numId w:val="2"/>
      </w:numPr>
      <w:spacing w:before="60"/>
      <w:ind w:left="568" w:hanging="284"/>
    </w:pPr>
  </w:style>
  <w:style w:type="paragraph" w:customStyle="1" w:styleId="CSNEPuce2">
    <w:name w:val="CSNE_Puce 2"/>
    <w:basedOn w:val="Normal"/>
    <w:uiPriority w:val="3"/>
    <w:rsid w:val="007C2F5A"/>
    <w:pPr>
      <w:numPr>
        <w:ilvl w:val="1"/>
        <w:numId w:val="2"/>
      </w:numPr>
    </w:pPr>
  </w:style>
  <w:style w:type="character" w:customStyle="1" w:styleId="CSNELgendeTitre">
    <w:name w:val="CSNE_Légende Titre"/>
    <w:basedOn w:val="Policepardfaut"/>
    <w:uiPriority w:val="4"/>
    <w:qFormat/>
    <w:rsid w:val="00E16FC9"/>
    <w:rPr>
      <w:b/>
      <w:color w:val="186AF2" w:themeColor="text2"/>
      <w:sz w:val="18"/>
      <w:szCs w:val="18"/>
    </w:rPr>
  </w:style>
  <w:style w:type="paragraph" w:customStyle="1" w:styleId="CSNELgende">
    <w:name w:val="CSNE_Légende"/>
    <w:basedOn w:val="Normal"/>
    <w:next w:val="Normal"/>
    <w:uiPriority w:val="4"/>
    <w:qFormat/>
    <w:rsid w:val="00E16FC9"/>
    <w:pPr>
      <w:spacing w:before="120"/>
    </w:pPr>
    <w:rPr>
      <w:color w:val="9B9B9B" w:themeColor="accent6"/>
      <w:sz w:val="18"/>
    </w:rPr>
  </w:style>
  <w:style w:type="character" w:styleId="Lienhypertextesuivivisit">
    <w:name w:val="FollowedHyperlink"/>
    <w:basedOn w:val="Policepardfaut"/>
    <w:uiPriority w:val="99"/>
    <w:semiHidden/>
    <w:rsid w:val="00D30BF9"/>
    <w:rPr>
      <w:color w:val="186AF2" w:themeColor="followedHyperlink"/>
      <w:u w:val="none"/>
    </w:rPr>
  </w:style>
  <w:style w:type="character" w:styleId="Textedelespacerserv">
    <w:name w:val="Placeholder Text"/>
    <w:basedOn w:val="Policepardfaut"/>
    <w:uiPriority w:val="99"/>
    <w:semiHidden/>
    <w:rsid w:val="006B686B"/>
    <w:rPr>
      <w:color w:val="808080"/>
    </w:rPr>
  </w:style>
  <w:style w:type="paragraph" w:customStyle="1" w:styleId="CSNEDate">
    <w:name w:val="CSNE_Date"/>
    <w:basedOn w:val="Normal"/>
    <w:next w:val="Normal"/>
    <w:uiPriority w:val="7"/>
    <w:rsid w:val="00CB4576"/>
    <w:pPr>
      <w:jc w:val="left"/>
    </w:pPr>
    <w:rPr>
      <w:color w:val="186AF2" w:themeColor="text2"/>
      <w:sz w:val="24"/>
      <w:szCs w:val="24"/>
    </w:rPr>
  </w:style>
  <w:style w:type="paragraph" w:styleId="Paragraphedeliste">
    <w:name w:val="List Paragraph"/>
    <w:basedOn w:val="Normal"/>
    <w:link w:val="ParagraphedelisteCar"/>
    <w:uiPriority w:val="34"/>
    <w:qFormat/>
    <w:rsid w:val="00B127E2"/>
    <w:pPr>
      <w:spacing w:before="80" w:after="80" w:line="276" w:lineRule="auto"/>
      <w:ind w:left="720"/>
    </w:pPr>
    <w:rPr>
      <w:rFonts w:eastAsia="Arial" w:cs="Times New Roman"/>
      <w:sz w:val="20"/>
      <w:lang w:val="x-none"/>
    </w:rPr>
  </w:style>
  <w:style w:type="character" w:customStyle="1" w:styleId="ParagraphedelisteCar">
    <w:name w:val="Paragraphe de liste Car"/>
    <w:link w:val="Paragraphedeliste"/>
    <w:uiPriority w:val="34"/>
    <w:rsid w:val="00B127E2"/>
    <w:rPr>
      <w:rFonts w:eastAsia="Arial" w:cs="Times New Roman"/>
      <w:sz w:val="20"/>
      <w:lang w:val="x-none"/>
    </w:rPr>
  </w:style>
  <w:style w:type="table" w:customStyle="1" w:styleId="Grilleclaire-Accent31">
    <w:name w:val="Grille claire - Accent 31"/>
    <w:basedOn w:val="TableauNormal"/>
    <w:next w:val="Grilleclaire-Accent3"/>
    <w:uiPriority w:val="62"/>
    <w:rsid w:val="00DD1C2E"/>
    <w:tblPr>
      <w:tblStyleRowBandSize w:val="1"/>
      <w:tblStyleColBandSize w:val="1"/>
      <w:tblBorders>
        <w:top w:val="single" w:sz="8" w:space="0" w:color="7AC1FA"/>
        <w:left w:val="single" w:sz="8" w:space="0" w:color="7AC1FA"/>
        <w:bottom w:val="single" w:sz="8" w:space="0" w:color="7AC1FA"/>
        <w:right w:val="single" w:sz="8" w:space="0" w:color="7AC1FA"/>
        <w:insideH w:val="single" w:sz="8" w:space="0" w:color="7AC1FA"/>
        <w:insideV w:val="single" w:sz="8" w:space="0" w:color="7AC1FA"/>
      </w:tblBorders>
    </w:tblPr>
    <w:tblStylePr w:type="firstRow">
      <w:pPr>
        <w:spacing w:before="0" w:after="0" w:line="240" w:lineRule="auto"/>
        <w:jc w:val="left"/>
      </w:pPr>
      <w:rPr>
        <w:rFonts w:ascii="Arial" w:hAnsi="Arial" w:cs="Times New Roman"/>
        <w:b/>
        <w:bCs/>
        <w:i w:val="0"/>
      </w:rPr>
      <w:tblPr/>
      <w:tcPr>
        <w:tcBorders>
          <w:top w:val="single" w:sz="8" w:space="0" w:color="7AC1FA"/>
          <w:left w:val="single" w:sz="8" w:space="0" w:color="7AC1FA"/>
          <w:bottom w:val="single" w:sz="18" w:space="0" w:color="7AC1FA"/>
          <w:right w:val="single" w:sz="8" w:space="0" w:color="7AC1FA"/>
          <w:insideH w:val="nil"/>
          <w:insideV w:val="single" w:sz="8" w:space="0" w:color="7AC1FA"/>
        </w:tcBorders>
      </w:tcPr>
    </w:tblStylePr>
    <w:tblStylePr w:type="lastRow">
      <w:pPr>
        <w:spacing w:before="0" w:after="0" w:line="240" w:lineRule="auto"/>
      </w:pPr>
      <w:rPr>
        <w:rFonts w:ascii="Arial" w:eastAsia="Times New Roman" w:hAnsi="Arial" w:cs="Times New Roman"/>
        <w:b/>
        <w:bCs/>
      </w:rPr>
      <w:tblPr/>
      <w:tcPr>
        <w:tcBorders>
          <w:top w:val="double" w:sz="6" w:space="0" w:color="065DA2"/>
          <w:left w:val="single" w:sz="8" w:space="0" w:color="065DA2"/>
          <w:bottom w:val="single" w:sz="8" w:space="0" w:color="065DA2"/>
          <w:right w:val="single" w:sz="8" w:space="0" w:color="065DA2"/>
          <w:insideH w:val="nil"/>
          <w:insideV w:val="single" w:sz="8" w:space="0" w:color="065DA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65DA2"/>
          <w:left w:val="single" w:sz="8" w:space="0" w:color="065DA2"/>
          <w:bottom w:val="single" w:sz="8" w:space="0" w:color="065DA2"/>
          <w:right w:val="single" w:sz="8" w:space="0" w:color="065DA2"/>
        </w:tcBorders>
      </w:tcPr>
    </w:tblStylePr>
    <w:tblStylePr w:type="band1Vert">
      <w:tblPr/>
      <w:tcPr>
        <w:tcBorders>
          <w:top w:val="single" w:sz="8" w:space="0" w:color="065DA2"/>
          <w:left w:val="single" w:sz="8" w:space="0" w:color="065DA2"/>
          <w:bottom w:val="single" w:sz="8" w:space="0" w:color="065DA2"/>
          <w:right w:val="single" w:sz="8" w:space="0" w:color="065DA2"/>
        </w:tcBorders>
        <w:shd w:val="clear" w:color="auto" w:fill="ADD9FC"/>
      </w:tcPr>
    </w:tblStylePr>
    <w:tblStylePr w:type="band1Horz">
      <w:tblPr/>
      <w:tcPr>
        <w:tcBorders>
          <w:top w:val="single" w:sz="8" w:space="0" w:color="7AC1FA"/>
          <w:left w:val="single" w:sz="8" w:space="0" w:color="7AC1FA"/>
          <w:bottom w:val="single" w:sz="8" w:space="0" w:color="7AC1FA"/>
          <w:right w:val="single" w:sz="8" w:space="0" w:color="7AC1FA"/>
          <w:insideV w:val="single" w:sz="8" w:space="0" w:color="7AC1FA"/>
        </w:tcBorders>
        <w:shd w:val="clear" w:color="auto" w:fill="ADD9FC"/>
      </w:tcPr>
    </w:tblStylePr>
    <w:tblStylePr w:type="band2Horz">
      <w:tblPr/>
      <w:tcPr>
        <w:tcBorders>
          <w:top w:val="single" w:sz="8" w:space="0" w:color="7AC1FA"/>
          <w:left w:val="single" w:sz="8" w:space="0" w:color="7AC1FA"/>
          <w:bottom w:val="single" w:sz="8" w:space="0" w:color="7AC1FA"/>
          <w:right w:val="single" w:sz="8" w:space="0" w:color="7AC1FA"/>
          <w:insideV w:val="single" w:sz="8" w:space="0" w:color="7AC1FA"/>
        </w:tcBorders>
      </w:tcPr>
    </w:tblStylePr>
  </w:style>
  <w:style w:type="table" w:styleId="Grilleclaire-Accent3">
    <w:name w:val="Light Grid Accent 3"/>
    <w:basedOn w:val="TableauNormal"/>
    <w:uiPriority w:val="62"/>
    <w:unhideWhenUsed/>
    <w:rsid w:val="00DD1C2E"/>
    <w:tblPr>
      <w:tblStyleRowBandSize w:val="1"/>
      <w:tblStyleColBandSize w:val="1"/>
      <w:tblBorders>
        <w:top w:val="single" w:sz="8" w:space="0" w:color="80BC00" w:themeColor="accent3"/>
        <w:left w:val="single" w:sz="8" w:space="0" w:color="80BC00" w:themeColor="accent3"/>
        <w:bottom w:val="single" w:sz="8" w:space="0" w:color="80BC00" w:themeColor="accent3"/>
        <w:right w:val="single" w:sz="8" w:space="0" w:color="80BC00" w:themeColor="accent3"/>
        <w:insideH w:val="single" w:sz="8" w:space="0" w:color="80BC00" w:themeColor="accent3"/>
        <w:insideV w:val="single" w:sz="8" w:space="0" w:color="80BC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BC00" w:themeColor="accent3"/>
          <w:left w:val="single" w:sz="8" w:space="0" w:color="80BC00" w:themeColor="accent3"/>
          <w:bottom w:val="single" w:sz="18" w:space="0" w:color="80BC00" w:themeColor="accent3"/>
          <w:right w:val="single" w:sz="8" w:space="0" w:color="80BC00" w:themeColor="accent3"/>
          <w:insideH w:val="nil"/>
          <w:insideV w:val="single" w:sz="8" w:space="0" w:color="80BC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BC00" w:themeColor="accent3"/>
          <w:left w:val="single" w:sz="8" w:space="0" w:color="80BC00" w:themeColor="accent3"/>
          <w:bottom w:val="single" w:sz="8" w:space="0" w:color="80BC00" w:themeColor="accent3"/>
          <w:right w:val="single" w:sz="8" w:space="0" w:color="80BC00" w:themeColor="accent3"/>
          <w:insideH w:val="nil"/>
          <w:insideV w:val="single" w:sz="8" w:space="0" w:color="80BC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BC00" w:themeColor="accent3"/>
          <w:left w:val="single" w:sz="8" w:space="0" w:color="80BC00" w:themeColor="accent3"/>
          <w:bottom w:val="single" w:sz="8" w:space="0" w:color="80BC00" w:themeColor="accent3"/>
          <w:right w:val="single" w:sz="8" w:space="0" w:color="80BC00" w:themeColor="accent3"/>
        </w:tcBorders>
      </w:tcPr>
    </w:tblStylePr>
    <w:tblStylePr w:type="band1Vert">
      <w:tblPr/>
      <w:tcPr>
        <w:tcBorders>
          <w:top w:val="single" w:sz="8" w:space="0" w:color="80BC00" w:themeColor="accent3"/>
          <w:left w:val="single" w:sz="8" w:space="0" w:color="80BC00" w:themeColor="accent3"/>
          <w:bottom w:val="single" w:sz="8" w:space="0" w:color="80BC00" w:themeColor="accent3"/>
          <w:right w:val="single" w:sz="8" w:space="0" w:color="80BC00" w:themeColor="accent3"/>
        </w:tcBorders>
        <w:shd w:val="clear" w:color="auto" w:fill="E5FFAF" w:themeFill="accent3" w:themeFillTint="3F"/>
      </w:tcPr>
    </w:tblStylePr>
    <w:tblStylePr w:type="band1Horz">
      <w:tblPr/>
      <w:tcPr>
        <w:tcBorders>
          <w:top w:val="single" w:sz="8" w:space="0" w:color="80BC00" w:themeColor="accent3"/>
          <w:left w:val="single" w:sz="8" w:space="0" w:color="80BC00" w:themeColor="accent3"/>
          <w:bottom w:val="single" w:sz="8" w:space="0" w:color="80BC00" w:themeColor="accent3"/>
          <w:right w:val="single" w:sz="8" w:space="0" w:color="80BC00" w:themeColor="accent3"/>
          <w:insideV w:val="single" w:sz="8" w:space="0" w:color="80BC00" w:themeColor="accent3"/>
        </w:tcBorders>
        <w:shd w:val="clear" w:color="auto" w:fill="E5FFAF" w:themeFill="accent3" w:themeFillTint="3F"/>
      </w:tcPr>
    </w:tblStylePr>
    <w:tblStylePr w:type="band2Horz">
      <w:tblPr/>
      <w:tcPr>
        <w:tcBorders>
          <w:top w:val="single" w:sz="8" w:space="0" w:color="80BC00" w:themeColor="accent3"/>
          <w:left w:val="single" w:sz="8" w:space="0" w:color="80BC00" w:themeColor="accent3"/>
          <w:bottom w:val="single" w:sz="8" w:space="0" w:color="80BC00" w:themeColor="accent3"/>
          <w:right w:val="single" w:sz="8" w:space="0" w:color="80BC00" w:themeColor="accent3"/>
          <w:insideV w:val="single" w:sz="8" w:space="0" w:color="80BC00" w:themeColor="accent3"/>
        </w:tcBorders>
      </w:tcPr>
    </w:tblStylePr>
  </w:style>
  <w:style w:type="paragraph" w:styleId="Liste">
    <w:name w:val="List"/>
    <w:basedOn w:val="Normal"/>
    <w:uiPriority w:val="99"/>
    <w:unhideWhenUsed/>
    <w:qFormat/>
    <w:rsid w:val="00FD104A"/>
    <w:pPr>
      <w:numPr>
        <w:numId w:val="3"/>
      </w:numPr>
      <w:spacing w:before="80" w:after="80"/>
    </w:pPr>
  </w:style>
  <w:style w:type="paragraph" w:styleId="Liste2">
    <w:name w:val="List 2"/>
    <w:basedOn w:val="Normal"/>
    <w:uiPriority w:val="99"/>
    <w:unhideWhenUsed/>
    <w:qFormat/>
    <w:rsid w:val="00D226E8"/>
    <w:pPr>
      <w:numPr>
        <w:ilvl w:val="1"/>
        <w:numId w:val="3"/>
      </w:numPr>
      <w:spacing w:before="80" w:after="80"/>
      <w:ind w:left="851" w:hanging="284"/>
    </w:pPr>
    <w:rPr>
      <w:color w:val="404040" w:themeColor="text1" w:themeTint="BF"/>
      <w:sz w:val="20"/>
    </w:rPr>
  </w:style>
  <w:style w:type="paragraph" w:styleId="Liste3">
    <w:name w:val="List 3"/>
    <w:uiPriority w:val="99"/>
    <w:unhideWhenUsed/>
    <w:qFormat/>
    <w:rsid w:val="00B40170"/>
    <w:pPr>
      <w:numPr>
        <w:ilvl w:val="2"/>
        <w:numId w:val="3"/>
      </w:numPr>
      <w:spacing w:before="60" w:after="60" w:line="276" w:lineRule="auto"/>
      <w:ind w:left="993" w:hanging="142"/>
      <w:jc w:val="both"/>
    </w:pPr>
    <w:rPr>
      <w:rFonts w:eastAsia="Arial" w:cs="Times New Roman"/>
    </w:rPr>
  </w:style>
  <w:style w:type="paragraph" w:styleId="Liste4">
    <w:name w:val="List 4"/>
    <w:basedOn w:val="Normal"/>
    <w:uiPriority w:val="99"/>
    <w:unhideWhenUsed/>
    <w:qFormat/>
    <w:rsid w:val="00D226E8"/>
    <w:pPr>
      <w:numPr>
        <w:ilvl w:val="3"/>
        <w:numId w:val="3"/>
      </w:numPr>
      <w:spacing w:before="80" w:after="80" w:line="276" w:lineRule="auto"/>
      <w:ind w:left="1276" w:hanging="142"/>
    </w:pPr>
    <w:rPr>
      <w:rFonts w:eastAsia="Arial" w:cs="Times New Roman"/>
      <w:color w:val="404040" w:themeColor="text1" w:themeTint="BF"/>
      <w:sz w:val="20"/>
      <w:szCs w:val="18"/>
    </w:rPr>
  </w:style>
  <w:style w:type="character" w:styleId="Appelnotedebasdep">
    <w:name w:val="footnote reference"/>
    <w:basedOn w:val="Policepardfaut"/>
    <w:unhideWhenUsed/>
    <w:rsid w:val="00D226E8"/>
    <w:rPr>
      <w:vertAlign w:val="superscript"/>
    </w:rPr>
  </w:style>
  <w:style w:type="paragraph" w:styleId="Notedebasdepage">
    <w:name w:val="footnote text"/>
    <w:basedOn w:val="Normal"/>
    <w:link w:val="NotedebasdepageCar"/>
    <w:uiPriority w:val="99"/>
    <w:unhideWhenUsed/>
    <w:rsid w:val="00D226E8"/>
    <w:rPr>
      <w:rFonts w:eastAsia="Arial" w:cs="Times New Roman"/>
      <w:color w:val="404040" w:themeColor="text1" w:themeTint="BF"/>
      <w:sz w:val="16"/>
      <w:szCs w:val="20"/>
    </w:rPr>
  </w:style>
  <w:style w:type="character" w:customStyle="1" w:styleId="NotedebasdepageCar">
    <w:name w:val="Note de bas de page Car"/>
    <w:basedOn w:val="Policepardfaut"/>
    <w:link w:val="Notedebasdepage"/>
    <w:uiPriority w:val="99"/>
    <w:rsid w:val="00D226E8"/>
    <w:rPr>
      <w:rFonts w:eastAsia="Arial" w:cs="Times New Roman"/>
      <w:color w:val="404040" w:themeColor="text1" w:themeTint="BF"/>
      <w:sz w:val="16"/>
      <w:szCs w:val="20"/>
    </w:rPr>
  </w:style>
  <w:style w:type="paragraph" w:customStyle="1" w:styleId="texteTableau">
    <w:name w:val="texte_Tableau"/>
    <w:basedOn w:val="Normal"/>
    <w:link w:val="texteTableauCar"/>
    <w:qFormat/>
    <w:rsid w:val="00D226E8"/>
    <w:pPr>
      <w:spacing w:before="40" w:after="40"/>
      <w:jc w:val="center"/>
    </w:pPr>
    <w:rPr>
      <w:rFonts w:eastAsia="Arial" w:cs="Times New Roman"/>
      <w:color w:val="404040" w:themeColor="text1" w:themeTint="BF"/>
      <w:sz w:val="16"/>
      <w:szCs w:val="16"/>
      <w:lang w:eastAsia="fr-FR"/>
    </w:rPr>
  </w:style>
  <w:style w:type="character" w:customStyle="1" w:styleId="texteTableauCar">
    <w:name w:val="texte_Tableau Car"/>
    <w:basedOn w:val="Policepardfaut"/>
    <w:link w:val="texteTableau"/>
    <w:rsid w:val="00D226E8"/>
    <w:rPr>
      <w:rFonts w:eastAsia="Arial" w:cs="Times New Roman"/>
      <w:color w:val="404040" w:themeColor="text1" w:themeTint="BF"/>
      <w:sz w:val="16"/>
      <w:szCs w:val="16"/>
      <w:lang w:eastAsia="fr-FR"/>
    </w:rPr>
  </w:style>
  <w:style w:type="character" w:customStyle="1" w:styleId="Titre2Car">
    <w:name w:val="Titre 2 Car"/>
    <w:aliases w:val="Titre 1. Car,Titre 1b Car,T2 Car,tt Car,E2 Car"/>
    <w:basedOn w:val="Policepardfaut"/>
    <w:link w:val="Titre2"/>
    <w:rsid w:val="00B040C7"/>
    <w:rPr>
      <w:rFonts w:asciiTheme="majorHAnsi" w:eastAsia="MS Gothic" w:hAnsiTheme="majorHAnsi" w:cs="Times New Roman"/>
      <w:b/>
      <w:bCs/>
      <w:smallCaps/>
      <w:color w:val="80BC00" w:themeColor="accent3"/>
      <w:sz w:val="28"/>
      <w:szCs w:val="26"/>
      <w:lang w:val="x-none" w:eastAsia="x-none"/>
    </w:rPr>
  </w:style>
  <w:style w:type="character" w:customStyle="1" w:styleId="Titre3Car">
    <w:name w:val="Titre 3 Car"/>
    <w:aliases w:val="Titre 3 re Car,Heading 31 Car,Heading 32 Car,Heading 33 Car,Heading 311 Car,Heading 321 Car,GSA3 Car,H3 Car,h3 Car,heading 3 Car,3rd level Car,Titre 3 times Car,t3 Car,chapitre 1.1.1 Car,Titre 31 Car,t3.T3 Car,l3 Car,CT Car,3 Car,T3 Car"/>
    <w:basedOn w:val="Policepardfaut"/>
    <w:link w:val="Titre3"/>
    <w:rsid w:val="00B040C7"/>
    <w:rPr>
      <w:rFonts w:asciiTheme="majorHAnsi" w:eastAsia="Times New Roman" w:hAnsiTheme="majorHAnsi" w:cs="Times New Roman"/>
      <w:bCs/>
      <w:smallCaps/>
      <w:color w:val="00549A"/>
      <w:sz w:val="26"/>
      <w:szCs w:val="26"/>
      <w:lang w:val="x-none"/>
    </w:rPr>
  </w:style>
  <w:style w:type="character" w:customStyle="1" w:styleId="Titre4Car">
    <w:name w:val="Titre 4 Car"/>
    <w:aliases w:val="Titre 4 re Car,E4 Car"/>
    <w:basedOn w:val="Policepardfaut"/>
    <w:link w:val="Titre4"/>
    <w:rsid w:val="00B040C7"/>
    <w:rPr>
      <w:rFonts w:asciiTheme="majorHAnsi" w:eastAsia="Times New Roman" w:hAnsiTheme="majorHAnsi" w:cs="Times New Roman"/>
      <w:bCs/>
      <w:i/>
      <w:color w:val="00549A"/>
      <w:sz w:val="24"/>
      <w:szCs w:val="20"/>
      <w:lang w:val="x-none"/>
    </w:rPr>
  </w:style>
  <w:style w:type="paragraph" w:customStyle="1" w:styleId="SETECTextecourant">
    <w:name w:val="SETEC_Texte courant"/>
    <w:link w:val="SETECTextecourantCar"/>
    <w:qFormat/>
    <w:rsid w:val="00EE6E42"/>
    <w:pPr>
      <w:spacing w:before="80" w:after="80" w:line="276" w:lineRule="auto"/>
      <w:jc w:val="both"/>
    </w:pPr>
    <w:rPr>
      <w:rFonts w:eastAsia="Arial" w:cs="Times New Roman"/>
      <w:color w:val="000000"/>
      <w:sz w:val="20"/>
      <w:szCs w:val="18"/>
    </w:rPr>
  </w:style>
  <w:style w:type="character" w:customStyle="1" w:styleId="SETECTextecourantCar">
    <w:name w:val="SETEC_Texte courant Car"/>
    <w:basedOn w:val="Policepardfaut"/>
    <w:link w:val="SETECTextecourant"/>
    <w:rsid w:val="00EE6E42"/>
    <w:rPr>
      <w:rFonts w:eastAsia="Arial" w:cs="Times New Roman"/>
      <w:color w:val="000000"/>
      <w:sz w:val="20"/>
      <w:szCs w:val="18"/>
    </w:rPr>
  </w:style>
  <w:style w:type="paragraph" w:customStyle="1" w:styleId="IllustrationTitre">
    <w:name w:val="Illustration (Titre)"/>
    <w:basedOn w:val="Normal"/>
    <w:link w:val="IllustrationTitreCar"/>
    <w:qFormat/>
    <w:rsid w:val="009238F8"/>
    <w:pPr>
      <w:numPr>
        <w:numId w:val="4"/>
      </w:numPr>
      <w:spacing w:before="80" w:after="240"/>
      <w:ind w:left="0" w:firstLine="0"/>
    </w:pPr>
    <w:rPr>
      <w:i/>
      <w:color w:val="3F5E00" w:themeColor="accent3" w:themeShade="80"/>
      <w:sz w:val="18"/>
    </w:rPr>
  </w:style>
  <w:style w:type="character" w:customStyle="1" w:styleId="IllustrationTitreCar">
    <w:name w:val="Illustration (Titre) Car"/>
    <w:basedOn w:val="Policepardfaut"/>
    <w:link w:val="IllustrationTitre"/>
    <w:rsid w:val="009238F8"/>
    <w:rPr>
      <w:i/>
      <w:color w:val="3F5E00" w:themeColor="accent3" w:themeShade="80"/>
      <w:sz w:val="18"/>
    </w:rPr>
  </w:style>
  <w:style w:type="paragraph" w:customStyle="1" w:styleId="SETECTextepuce2">
    <w:name w:val="SETEC_Texte puce 2"/>
    <w:basedOn w:val="Normal"/>
    <w:qFormat/>
    <w:rsid w:val="009238F8"/>
    <w:pPr>
      <w:numPr>
        <w:numId w:val="5"/>
      </w:numPr>
      <w:spacing w:before="60" w:after="60" w:line="276" w:lineRule="auto"/>
    </w:pPr>
    <w:rPr>
      <w:rFonts w:eastAsia="Arial" w:cs="Times New Roman"/>
      <w:color w:val="000000"/>
      <w:sz w:val="20"/>
      <w:szCs w:val="18"/>
    </w:rPr>
  </w:style>
  <w:style w:type="table" w:customStyle="1" w:styleId="TableauGrille2-Accentuation31">
    <w:name w:val="Tableau Grille 2 - Accentuation 31"/>
    <w:basedOn w:val="TableauNormal"/>
    <w:uiPriority w:val="47"/>
    <w:rsid w:val="009238F8"/>
    <w:tblPr>
      <w:tblStyleRowBandSize w:val="1"/>
      <w:tblStyleColBandSize w:val="1"/>
      <w:tblBorders>
        <w:top w:val="single" w:sz="2" w:space="0" w:color="C0FF3D" w:themeColor="accent3" w:themeTint="99"/>
        <w:bottom w:val="single" w:sz="2" w:space="0" w:color="C0FF3D" w:themeColor="accent3" w:themeTint="99"/>
        <w:insideH w:val="single" w:sz="2" w:space="0" w:color="C0FF3D" w:themeColor="accent3" w:themeTint="99"/>
        <w:insideV w:val="single" w:sz="2" w:space="0" w:color="C0FF3D" w:themeColor="accent3" w:themeTint="99"/>
      </w:tblBorders>
    </w:tblPr>
    <w:tblStylePr w:type="firstRow">
      <w:rPr>
        <w:b/>
        <w:bCs/>
      </w:rPr>
      <w:tblPr/>
      <w:tcPr>
        <w:tcBorders>
          <w:top w:val="nil"/>
          <w:bottom w:val="single" w:sz="12" w:space="0" w:color="C0FF3D" w:themeColor="accent3" w:themeTint="99"/>
          <w:insideH w:val="nil"/>
          <w:insideV w:val="nil"/>
        </w:tcBorders>
        <w:shd w:val="clear" w:color="auto" w:fill="FFFFFF" w:themeFill="background1"/>
      </w:tcPr>
    </w:tblStylePr>
    <w:tblStylePr w:type="lastRow">
      <w:rPr>
        <w:b/>
        <w:bCs/>
      </w:rPr>
      <w:tblPr/>
      <w:tcPr>
        <w:tcBorders>
          <w:top w:val="double" w:sz="2" w:space="0" w:color="C0FF3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FBE" w:themeFill="accent3" w:themeFillTint="33"/>
      </w:tcPr>
    </w:tblStylePr>
    <w:tblStylePr w:type="band1Horz">
      <w:tblPr/>
      <w:tcPr>
        <w:shd w:val="clear" w:color="auto" w:fill="EAFFBE" w:themeFill="accent3" w:themeFillTint="33"/>
      </w:tcPr>
    </w:tblStylePr>
  </w:style>
  <w:style w:type="paragraph" w:customStyle="1" w:styleId="TableauCorps">
    <w:name w:val="Tableau (Corps)"/>
    <w:link w:val="TableauCorpsCar"/>
    <w:qFormat/>
    <w:rsid w:val="00FE6A92"/>
    <w:pPr>
      <w:keepNext/>
      <w:keepLines/>
      <w:spacing w:before="40" w:after="40"/>
      <w:jc w:val="center"/>
    </w:pPr>
    <w:rPr>
      <w:color w:val="404040" w:themeColor="text1" w:themeTint="BF"/>
      <w:sz w:val="18"/>
    </w:rPr>
  </w:style>
  <w:style w:type="character" w:customStyle="1" w:styleId="TableauCorpsCar">
    <w:name w:val="Tableau (Corps) Car"/>
    <w:basedOn w:val="Policepardfaut"/>
    <w:link w:val="TableauCorps"/>
    <w:rsid w:val="00FE6A92"/>
    <w:rPr>
      <w:color w:val="404040" w:themeColor="text1" w:themeTint="BF"/>
      <w:sz w:val="18"/>
    </w:rPr>
  </w:style>
  <w:style w:type="paragraph" w:customStyle="1" w:styleId="Article1">
    <w:name w:val="Article 1"/>
    <w:basedOn w:val="Normal"/>
    <w:link w:val="Article1Car"/>
    <w:qFormat/>
    <w:rsid w:val="0092312C"/>
    <w:pPr>
      <w:numPr>
        <w:numId w:val="11"/>
      </w:numPr>
      <w:spacing w:before="840" w:after="480" w:line="259" w:lineRule="auto"/>
      <w:jc w:val="left"/>
    </w:pPr>
    <w:rPr>
      <w:rFonts w:ascii="Arial" w:eastAsia="MS Gothic" w:hAnsi="Arial" w:cs="Times New Roman"/>
      <w:b/>
      <w:bCs/>
      <w:caps/>
      <w:color w:val="80BC00" w:themeColor="accent3"/>
      <w:sz w:val="32"/>
      <w:szCs w:val="28"/>
      <w:lang w:val="x-none" w:eastAsia="x-none"/>
    </w:rPr>
  </w:style>
  <w:style w:type="character" w:customStyle="1" w:styleId="Article1Car">
    <w:name w:val="Article 1 Car"/>
    <w:basedOn w:val="Policepardfaut"/>
    <w:link w:val="Article1"/>
    <w:rsid w:val="0092312C"/>
    <w:rPr>
      <w:rFonts w:ascii="Arial" w:eastAsia="MS Gothic" w:hAnsi="Arial" w:cs="Times New Roman"/>
      <w:b/>
      <w:bCs/>
      <w:caps/>
      <w:color w:val="80BC00" w:themeColor="accent3"/>
      <w:sz w:val="32"/>
      <w:szCs w:val="28"/>
      <w:lang w:val="x-none" w:eastAsia="x-none"/>
    </w:rPr>
  </w:style>
  <w:style w:type="paragraph" w:customStyle="1" w:styleId="sous-article1">
    <w:name w:val="sous-article 1"/>
    <w:basedOn w:val="Titre1"/>
    <w:link w:val="sous-article1Car"/>
    <w:qFormat/>
    <w:rsid w:val="0092312C"/>
    <w:pPr>
      <w:numPr>
        <w:ilvl w:val="1"/>
        <w:numId w:val="11"/>
      </w:numPr>
      <w:tabs>
        <w:tab w:val="num" w:pos="360"/>
      </w:tabs>
      <w:spacing w:before="360" w:after="240"/>
      <w:jc w:val="left"/>
    </w:pPr>
    <w:rPr>
      <w:rFonts w:ascii="Arial" w:hAnsi="Arial"/>
      <w:b/>
      <w:smallCaps/>
      <w:color w:val="80BC00" w:themeColor="accent3"/>
      <w:sz w:val="28"/>
      <w:szCs w:val="36"/>
      <w:lang w:val="x-none" w:eastAsia="x-none"/>
    </w:rPr>
  </w:style>
  <w:style w:type="paragraph" w:customStyle="1" w:styleId="sous-article2">
    <w:name w:val="sous-article 2"/>
    <w:basedOn w:val="sous-article1"/>
    <w:qFormat/>
    <w:rsid w:val="0092312C"/>
    <w:pPr>
      <w:numPr>
        <w:ilvl w:val="2"/>
      </w:numPr>
      <w:tabs>
        <w:tab w:val="num" w:pos="360"/>
        <w:tab w:val="left" w:pos="709"/>
      </w:tabs>
      <w:spacing w:before="240"/>
    </w:pPr>
    <w:rPr>
      <w:sz w:val="26"/>
    </w:rPr>
  </w:style>
  <w:style w:type="paragraph" w:customStyle="1" w:styleId="sous-article3">
    <w:name w:val="sous-article 3"/>
    <w:basedOn w:val="sous-article2"/>
    <w:qFormat/>
    <w:rsid w:val="0092312C"/>
    <w:pPr>
      <w:numPr>
        <w:ilvl w:val="3"/>
      </w:numPr>
      <w:tabs>
        <w:tab w:val="num" w:pos="360"/>
      </w:tabs>
    </w:pPr>
    <w:rPr>
      <w:b w:val="0"/>
      <w:caps/>
      <w:sz w:val="20"/>
      <w:lang w:val="fr-FR" w:eastAsia="en-US"/>
    </w:rPr>
  </w:style>
  <w:style w:type="paragraph" w:customStyle="1" w:styleId="SETECTextepuce3">
    <w:name w:val="SETEC_Texte puce 3"/>
    <w:basedOn w:val="Normal"/>
    <w:rsid w:val="0002682A"/>
    <w:pPr>
      <w:numPr>
        <w:ilvl w:val="2"/>
        <w:numId w:val="16"/>
      </w:numPr>
      <w:spacing w:before="60" w:after="60" w:line="276" w:lineRule="auto"/>
      <w:contextualSpacing/>
    </w:pPr>
    <w:rPr>
      <w:rFonts w:eastAsia="Arial" w:cs="Times New Roman"/>
      <w:color w:val="000000"/>
      <w:sz w:val="20"/>
      <w:szCs w:val="18"/>
    </w:rPr>
  </w:style>
  <w:style w:type="paragraph" w:customStyle="1" w:styleId="SETECTextepuce1">
    <w:name w:val="SETEC_Texte puce 1"/>
    <w:basedOn w:val="Normal"/>
    <w:qFormat/>
    <w:rsid w:val="0002682A"/>
    <w:pPr>
      <w:numPr>
        <w:numId w:val="16"/>
      </w:numPr>
      <w:tabs>
        <w:tab w:val="left" w:pos="708"/>
      </w:tabs>
      <w:spacing w:before="60" w:after="60" w:line="276" w:lineRule="auto"/>
    </w:pPr>
    <w:rPr>
      <w:rFonts w:eastAsia="Arial" w:cs="Times New Roman"/>
      <w:sz w:val="20"/>
      <w:szCs w:val="20"/>
      <w:u w:val="single"/>
      <w:lang w:eastAsia="zh-CN"/>
    </w:rPr>
  </w:style>
  <w:style w:type="paragraph" w:customStyle="1" w:styleId="SETECTextepuce4">
    <w:name w:val="SETEC_Texte puce 4"/>
    <w:basedOn w:val="Normal"/>
    <w:rsid w:val="0002682A"/>
    <w:pPr>
      <w:numPr>
        <w:ilvl w:val="3"/>
        <w:numId w:val="16"/>
      </w:numPr>
      <w:spacing w:before="60" w:after="60" w:line="276" w:lineRule="auto"/>
    </w:pPr>
    <w:rPr>
      <w:rFonts w:eastAsia="Arial" w:cs="Times New Roman"/>
      <w:color w:val="000000"/>
      <w:sz w:val="20"/>
      <w:szCs w:val="18"/>
    </w:rPr>
  </w:style>
  <w:style w:type="character" w:styleId="Marquedecommentaire">
    <w:name w:val="annotation reference"/>
    <w:basedOn w:val="Policepardfaut"/>
    <w:uiPriority w:val="99"/>
    <w:rsid w:val="00353442"/>
    <w:rPr>
      <w:sz w:val="16"/>
      <w:szCs w:val="16"/>
    </w:rPr>
  </w:style>
  <w:style w:type="paragraph" w:styleId="Commentaire">
    <w:name w:val="annotation text"/>
    <w:basedOn w:val="Normal"/>
    <w:link w:val="CommentaireCar"/>
    <w:uiPriority w:val="99"/>
    <w:semiHidden/>
    <w:rsid w:val="00353442"/>
    <w:rPr>
      <w:sz w:val="20"/>
      <w:szCs w:val="20"/>
    </w:rPr>
  </w:style>
  <w:style w:type="character" w:customStyle="1" w:styleId="CommentaireCar">
    <w:name w:val="Commentaire Car"/>
    <w:basedOn w:val="Policepardfaut"/>
    <w:link w:val="Commentaire"/>
    <w:uiPriority w:val="99"/>
    <w:semiHidden/>
    <w:rsid w:val="00353442"/>
    <w:rPr>
      <w:sz w:val="20"/>
      <w:szCs w:val="20"/>
    </w:rPr>
  </w:style>
  <w:style w:type="paragraph" w:styleId="Objetducommentaire">
    <w:name w:val="annotation subject"/>
    <w:basedOn w:val="Commentaire"/>
    <w:next w:val="Commentaire"/>
    <w:link w:val="ObjetducommentaireCar"/>
    <w:uiPriority w:val="99"/>
    <w:semiHidden/>
    <w:rsid w:val="00353442"/>
    <w:rPr>
      <w:b/>
      <w:bCs/>
    </w:rPr>
  </w:style>
  <w:style w:type="character" w:customStyle="1" w:styleId="ObjetducommentaireCar">
    <w:name w:val="Objet du commentaire Car"/>
    <w:basedOn w:val="CommentaireCar"/>
    <w:link w:val="Objetducommentaire"/>
    <w:uiPriority w:val="99"/>
    <w:semiHidden/>
    <w:rsid w:val="00353442"/>
    <w:rPr>
      <w:b/>
      <w:bCs/>
      <w:sz w:val="20"/>
      <w:szCs w:val="20"/>
    </w:rPr>
  </w:style>
  <w:style w:type="paragraph" w:styleId="Textedebulles">
    <w:name w:val="Balloon Text"/>
    <w:basedOn w:val="Normal"/>
    <w:link w:val="TextedebullesCar"/>
    <w:uiPriority w:val="99"/>
    <w:semiHidden/>
    <w:rsid w:val="0035344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442"/>
    <w:rPr>
      <w:rFonts w:ascii="Segoe UI" w:hAnsi="Segoe UI" w:cs="Segoe UI"/>
      <w:sz w:val="18"/>
      <w:szCs w:val="18"/>
    </w:rPr>
  </w:style>
  <w:style w:type="character" w:customStyle="1" w:styleId="sous-article1Car">
    <w:name w:val="sous-article 1 Car"/>
    <w:basedOn w:val="Titre1Car"/>
    <w:link w:val="sous-article1"/>
    <w:rsid w:val="003417DE"/>
    <w:rPr>
      <w:rFonts w:ascii="Arial" w:eastAsiaTheme="majorEastAsia" w:hAnsi="Arial" w:cstheme="majorBidi"/>
      <w:b/>
      <w:smallCaps/>
      <w:color w:val="80BC00" w:themeColor="accent3"/>
      <w:sz w:val="28"/>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onomie.gouv.fr/daj/formulaires-declaration-du-candidat" TargetMode="External"/><Relationship Id="rId18" Type="http://schemas.openxmlformats.org/officeDocument/2006/relationships/oleObject" Target="embeddings/oleObject1.bin"/><Relationship Id="rId26" Type="http://schemas.openxmlformats.org/officeDocument/2006/relationships/hyperlink" Target="http://www.marches-publics.gouv.fr" TargetMode="External"/><Relationship Id="rId3" Type="http://schemas.openxmlformats.org/officeDocument/2006/relationships/customXml" Target="../customXml/item3.xml"/><Relationship Id="rId21" Type="http://schemas.openxmlformats.org/officeDocument/2006/relationships/hyperlink" Target="https://www.marches-publics.gouv.fr" TargetMode="External"/><Relationship Id="rId34" Type="http://schemas.openxmlformats.org/officeDocument/2006/relationships/header" Target="header3.xm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hyperlink" Target="https://www.urssaf.fr/portail/home/employeur/declarer-et-payer/obtenir-une-attestation/attestation-de-vigilance.html" TargetMode="External"/><Relationship Id="rId33" Type="http://schemas.openxmlformats.org/officeDocument/2006/relationships/footer" Target="footer2.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oleObject" Target="embeddings/oleObject2.bin"/><Relationship Id="rId29" Type="http://schemas.openxmlformats.org/officeDocument/2006/relationships/hyperlink" Target="https://webgate.ec.europa.eu/tl-brows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mpots.gouv.fr/portail/professionnel/questions/comment-obtenir-une-attestation-de-regularite-fiscale"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rches-publics.gouv.fr" TargetMode="External"/><Relationship Id="rId23" Type="http://schemas.openxmlformats.org/officeDocument/2006/relationships/hyperlink" Target="https://www.impots.gouv.fr/portail/" TargetMode="External"/><Relationship Id="rId28" Type="http://schemas.openxmlformats.org/officeDocument/2006/relationships/hyperlink" Target="https://eur-lex.europa.eu/legal-content/FR/TXT/HTML/?uri=CELEX:32014R0910&amp;from=F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mailto:place.support@atex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nomie.gouv.fr/daj/formulaires-declaration-du-candidat" TargetMode="External"/><Relationship Id="rId22" Type="http://schemas.openxmlformats.org/officeDocument/2006/relationships/hyperlink" Target="https://www.marches-publics.gouv.fr/?page=entreprise.EntrepriseGuide" TargetMode="External"/><Relationship Id="rId27" Type="http://schemas.openxmlformats.org/officeDocument/2006/relationships/hyperlink" Target="https://www.legifrance.gouv.fr/eli/arrete/2018/4/12/ECOM1800780A/jo/texte" TargetMode="External"/><Relationship Id="rId30" Type="http://schemas.openxmlformats.org/officeDocument/2006/relationships/hyperlink" Target="https://www.marches-publics.gouv.fr"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www.canal-seine-nord-europ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Aucremanne\Documents\Mod&#232;les%20Office%20personnalis&#233;s\SCSNE_Pr&#233;sentation%20Word.dotx" TargetMode="External"/></Relationships>
</file>

<file path=word/theme/theme1.xml><?xml version="1.0" encoding="utf-8"?>
<a:theme xmlns:a="http://schemas.openxmlformats.org/drawingml/2006/main" name="Thème Office">
  <a:themeElements>
    <a:clrScheme name="CSNE_Couleurs">
      <a:dk1>
        <a:sysClr val="windowText" lastClr="000000"/>
      </a:dk1>
      <a:lt1>
        <a:sysClr val="window" lastClr="FFFFFF"/>
      </a:lt1>
      <a:dk2>
        <a:srgbClr val="186AF2"/>
      </a:dk2>
      <a:lt2>
        <a:srgbClr val="E2E2E2"/>
      </a:lt2>
      <a:accent1>
        <a:srgbClr val="6BC9FF"/>
      </a:accent1>
      <a:accent2>
        <a:srgbClr val="00488E"/>
      </a:accent2>
      <a:accent3>
        <a:srgbClr val="80BC00"/>
      </a:accent3>
      <a:accent4>
        <a:srgbClr val="D3D655"/>
      </a:accent4>
      <a:accent5>
        <a:srgbClr val="636362"/>
      </a:accent5>
      <a:accent6>
        <a:srgbClr val="9B9B9B"/>
      </a:accent6>
      <a:hlink>
        <a:srgbClr val="186AF2"/>
      </a:hlink>
      <a:folHlink>
        <a:srgbClr val="186AF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DA242E86F9F4295897460C7181383" ma:contentTypeVersion="2" ma:contentTypeDescription="Crée un document." ma:contentTypeScope="" ma:versionID="c26e173b84e24f794135f7f317978d3c">
  <xsd:schema xmlns:xsd="http://www.w3.org/2001/XMLSchema" xmlns:xs="http://www.w3.org/2001/XMLSchema" xmlns:p="http://schemas.microsoft.com/office/2006/metadata/properties" xmlns:ns2="92178895-7f9f-4d51-9cef-b84303b999d8" targetNamespace="http://schemas.microsoft.com/office/2006/metadata/properties" ma:root="true" ma:fieldsID="12f22dc10d3e9436f4c91a4916c4fa59" ns2:_="">
    <xsd:import namespace="92178895-7f9f-4d51-9cef-b84303b999d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78895-7f9f-4d51-9cef-b84303b999d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580B-6B04-42F4-9E9F-BE3D59ABB08F}">
  <ds:schemaRefs>
    <ds:schemaRef ds:uri="http://schemas.microsoft.com/sharepoint/v3/contenttype/forms"/>
  </ds:schemaRefs>
</ds:datastoreItem>
</file>

<file path=customXml/itemProps2.xml><?xml version="1.0" encoding="utf-8"?>
<ds:datastoreItem xmlns:ds="http://schemas.openxmlformats.org/officeDocument/2006/customXml" ds:itemID="{2A978CB6-9CB5-417E-9511-DFEBF1E1E8FC}">
  <ds:schemaRefs>
    <ds:schemaRef ds:uri="http://schemas.microsoft.com/office/infopath/2007/PartnerControls"/>
    <ds:schemaRef ds:uri="92178895-7f9f-4d51-9cef-b84303b999d8"/>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02F38D-A283-4022-95CC-E228A83EA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78895-7f9f-4d51-9cef-b84303b99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15006-0177-4F74-BAED-169760DF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SCSNE_Présentation Word.dotx</Template>
  <TotalTime>766</TotalTime>
  <Pages>25</Pages>
  <Words>7965</Words>
  <Characters>43812</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Référentiel</vt:lpstr>
    </vt:vector>
  </TitlesOfParts>
  <Company>Société du Canal Seine-Nord Europe</Company>
  <LinksUpToDate>false</LinksUpToDate>
  <CharactersWithSpaces>51674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dc:title>
  <dc:subject>Modèle</dc:subject>
  <dc:creator>AUCREMANNE Claire, SCSNE</dc:creator>
  <cp:keywords>Modèle</cp:keywords>
  <dc:description/>
  <cp:lastModifiedBy>CHAPUT Etienne, SCSNE</cp:lastModifiedBy>
  <cp:revision>119</cp:revision>
  <cp:lastPrinted>2021-02-16T11:06:00Z</cp:lastPrinted>
  <dcterms:created xsi:type="dcterms:W3CDTF">2020-11-25T10:32:00Z</dcterms:created>
  <dcterms:modified xsi:type="dcterms:W3CDTF">2022-11-17T13:42:00Z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0x010100496DA242E86F9F4295897460C7181383</vt:lpwstr>
  </property>
</Properties>
</file>